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D9" w:rsidRDefault="00210ED9" w:rsidP="00210ED9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/>
          <w:noProof/>
          <w:sz w:val="20"/>
          <w:lang w:val="ru-RU" w:eastAsia="ru-RU"/>
        </w:rPr>
        <w:drawing>
          <wp:inline distT="0" distB="0" distL="0" distR="0">
            <wp:extent cx="499745" cy="6273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D9" w:rsidRDefault="00210ED9" w:rsidP="00210ED9">
      <w:pPr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210ED9" w:rsidRDefault="00210ED9" w:rsidP="00210ED9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СМІЛЯНСЬКА МІСЬКА РАДА </w:t>
      </w:r>
    </w:p>
    <w:p w:rsidR="00210ED9" w:rsidRDefault="00210ED9" w:rsidP="00210ED9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ВИКОНАВЧИЙ КОМІТЕТ</w:t>
      </w:r>
    </w:p>
    <w:p w:rsidR="00210ED9" w:rsidRDefault="00210ED9" w:rsidP="00210ED9">
      <w:pPr>
        <w:jc w:val="center"/>
        <w:rPr>
          <w:b/>
          <w:bCs/>
          <w:noProof/>
          <w:sz w:val="16"/>
          <w:szCs w:val="16"/>
        </w:rPr>
      </w:pPr>
    </w:p>
    <w:p w:rsidR="00210ED9" w:rsidRDefault="00210ED9" w:rsidP="00210ED9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 І Ш Е Н Н Я</w:t>
      </w:r>
    </w:p>
    <w:p w:rsidR="00210ED9" w:rsidRDefault="00210ED9" w:rsidP="00210ED9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210ED9" w:rsidRDefault="00210ED9" w:rsidP="00210ED9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210ED9" w:rsidRDefault="00A859FA" w:rsidP="00210ED9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  <w:r w:rsidRPr="009D7145">
        <w:rPr>
          <w:noProof/>
          <w:color w:val="000000"/>
          <w:sz w:val="28"/>
          <w:szCs w:val="28"/>
          <w:u w:val="single"/>
        </w:rPr>
        <w:t xml:space="preserve"> 26.08.2021</w:t>
      </w:r>
      <w:r>
        <w:rPr>
          <w:noProof/>
          <w:color w:val="000000"/>
          <w:sz w:val="28"/>
          <w:szCs w:val="28"/>
        </w:rPr>
        <w:t xml:space="preserve">                   </w:t>
      </w:r>
      <w:r w:rsidR="009D7145">
        <w:rPr>
          <w:noProof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noProof/>
          <w:color w:val="000000"/>
          <w:sz w:val="28"/>
          <w:szCs w:val="28"/>
        </w:rPr>
        <w:t xml:space="preserve">      </w:t>
      </w:r>
      <w:r w:rsidRPr="009D7145">
        <w:rPr>
          <w:noProof/>
          <w:color w:val="000000"/>
          <w:sz w:val="28"/>
          <w:szCs w:val="28"/>
          <w:u w:val="single"/>
        </w:rPr>
        <w:t>№ 409</w:t>
      </w:r>
    </w:p>
    <w:p w:rsidR="00210ED9" w:rsidRDefault="00210ED9" w:rsidP="00210ED9"/>
    <w:p w:rsidR="00210ED9" w:rsidRPr="005642C9" w:rsidRDefault="00210ED9" w:rsidP="00210ED9">
      <w:pPr>
        <w:rPr>
          <w:rStyle w:val="a4"/>
        </w:rPr>
      </w:pPr>
      <w:r w:rsidRPr="005642C9">
        <w:rPr>
          <w:rStyle w:val="a4"/>
        </w:rPr>
        <w:t>Про схвалення прогнозу бюджету</w:t>
      </w:r>
    </w:p>
    <w:p w:rsidR="00210ED9" w:rsidRDefault="00210ED9" w:rsidP="00210ED9">
      <w:pPr>
        <w:rPr>
          <w:rStyle w:val="a4"/>
        </w:rPr>
      </w:pPr>
      <w:r w:rsidRPr="005642C9">
        <w:rPr>
          <w:rStyle w:val="a4"/>
        </w:rPr>
        <w:t xml:space="preserve">Смілянської міської територіальної громади </w:t>
      </w:r>
    </w:p>
    <w:p w:rsidR="00210ED9" w:rsidRDefault="00210ED9" w:rsidP="00210ED9">
      <w:pPr>
        <w:rPr>
          <w:rStyle w:val="a4"/>
        </w:rPr>
      </w:pPr>
      <w:r w:rsidRPr="005642C9">
        <w:rPr>
          <w:rStyle w:val="a4"/>
        </w:rPr>
        <w:t>на 2022-2024 роки</w:t>
      </w:r>
    </w:p>
    <w:p w:rsidR="00210ED9" w:rsidRPr="005642C9" w:rsidRDefault="00210ED9" w:rsidP="00210ED9">
      <w:pPr>
        <w:rPr>
          <w:rStyle w:val="a4"/>
        </w:rPr>
      </w:pPr>
      <w:r w:rsidRPr="005642C9">
        <w:rPr>
          <w:rStyle w:val="a4"/>
        </w:rPr>
        <w:t>(23573000000)</w:t>
      </w:r>
    </w:p>
    <w:p w:rsidR="00210ED9" w:rsidRPr="00A11A31" w:rsidRDefault="00210ED9" w:rsidP="00210ED9">
      <w:pPr>
        <w:rPr>
          <w:sz w:val="28"/>
          <w:szCs w:val="28"/>
        </w:rPr>
      </w:pPr>
    </w:p>
    <w:p w:rsidR="00210ED9" w:rsidRDefault="00210ED9" w:rsidP="009D7145">
      <w:pPr>
        <w:pStyle w:val="a3"/>
        <w:ind w:firstLine="567"/>
        <w:jc w:val="both"/>
      </w:pPr>
      <w:r w:rsidRPr="005642C9">
        <w:t>Відповідно до статті75</w:t>
      </w:r>
      <w:r w:rsidRPr="005642C9">
        <w:rPr>
          <w:vertAlign w:val="superscript"/>
        </w:rPr>
        <w:t>1</w:t>
      </w:r>
      <w:r w:rsidRPr="005642C9">
        <w:t>БюджетногокодексуУкраїни, статті 28 Закону України «Про місцеве самоврядування в</w:t>
      </w:r>
      <w:r w:rsidR="009D7145">
        <w:t xml:space="preserve"> </w:t>
      </w:r>
      <w:r w:rsidRPr="005642C9">
        <w:t>Україні»,на виконання Плану заходів щодо складання прогнозу бюджету Смілянської міської територіальної громади на 2022–2024 роки, затвердженого рішенням виконавчого комітету Смілянської міської ради від 07.06.2021 року № 211, виконавчий комітет Смілянської</w:t>
      </w:r>
      <w:r w:rsidR="009D7145">
        <w:t xml:space="preserve"> </w:t>
      </w:r>
      <w:r w:rsidRPr="005642C9">
        <w:t>міської</w:t>
      </w:r>
      <w:r w:rsidR="009D7145">
        <w:t xml:space="preserve"> </w:t>
      </w:r>
      <w:r w:rsidRPr="006304DE">
        <w:t>ради</w:t>
      </w:r>
    </w:p>
    <w:p w:rsidR="00210ED9" w:rsidRPr="005642C9" w:rsidRDefault="00210ED9" w:rsidP="009D7145">
      <w:pPr>
        <w:pStyle w:val="a3"/>
        <w:rPr>
          <w:b/>
        </w:rPr>
      </w:pPr>
      <w:r w:rsidRPr="006304DE">
        <w:t>ВИРІШИВ:</w:t>
      </w:r>
    </w:p>
    <w:p w:rsidR="00210ED9" w:rsidRPr="005642C9" w:rsidRDefault="00210ED9" w:rsidP="00210ED9">
      <w:pPr>
        <w:pStyle w:val="a3"/>
        <w:spacing w:before="10"/>
        <w:rPr>
          <w:b/>
        </w:rPr>
      </w:pPr>
    </w:p>
    <w:p w:rsidR="00210ED9" w:rsidRPr="005642C9" w:rsidRDefault="00210ED9" w:rsidP="00210ED9">
      <w:pPr>
        <w:pStyle w:val="a3"/>
        <w:ind w:firstLine="567"/>
      </w:pPr>
      <w:r>
        <w:t>1.</w:t>
      </w:r>
      <w:r w:rsidRPr="005642C9">
        <w:t>Схвалити</w:t>
      </w:r>
      <w:r w:rsidR="009D7145">
        <w:t xml:space="preserve"> </w:t>
      </w:r>
      <w:r w:rsidRPr="005642C9">
        <w:t>прогноз</w:t>
      </w:r>
      <w:r w:rsidR="009D7145">
        <w:t xml:space="preserve"> </w:t>
      </w:r>
      <w:r w:rsidRPr="005642C9">
        <w:t>бюджету</w:t>
      </w:r>
      <w:r w:rsidR="009D7145">
        <w:t xml:space="preserve"> </w:t>
      </w:r>
      <w:r w:rsidRPr="005642C9">
        <w:t>Смілянської</w:t>
      </w:r>
      <w:r w:rsidR="009D7145">
        <w:t xml:space="preserve"> </w:t>
      </w:r>
      <w:r w:rsidRPr="005642C9">
        <w:t>міської</w:t>
      </w:r>
      <w:r w:rsidR="009D7145">
        <w:t xml:space="preserve"> </w:t>
      </w:r>
      <w:r w:rsidRPr="005642C9">
        <w:t>територіальної</w:t>
      </w:r>
      <w:r w:rsidR="009D7145">
        <w:t xml:space="preserve"> </w:t>
      </w:r>
      <w:r w:rsidRPr="005642C9">
        <w:t>громади на 2022-2024 роки з подальшим внесенням на розгляд сесії міської</w:t>
      </w:r>
      <w:r w:rsidR="009D7145">
        <w:t xml:space="preserve"> </w:t>
      </w:r>
      <w:r w:rsidRPr="005642C9">
        <w:t>ради,що</w:t>
      </w:r>
      <w:r w:rsidR="009D7145">
        <w:t xml:space="preserve"> </w:t>
      </w:r>
      <w:r w:rsidRPr="005642C9">
        <w:t>додається.</w:t>
      </w:r>
    </w:p>
    <w:p w:rsidR="00210ED9" w:rsidRPr="005642C9" w:rsidRDefault="00210ED9" w:rsidP="00210ED9">
      <w:pPr>
        <w:pStyle w:val="a3"/>
        <w:ind w:firstLine="567"/>
      </w:pPr>
      <w:r>
        <w:t>2.</w:t>
      </w:r>
      <w:r w:rsidRPr="005642C9">
        <w:t>Контрользавиконанням цього</w:t>
      </w:r>
      <w:r w:rsidR="009D7145">
        <w:t xml:space="preserve"> </w:t>
      </w:r>
      <w:r w:rsidRPr="005642C9">
        <w:t>рішення</w:t>
      </w:r>
      <w:r w:rsidR="009D7145">
        <w:t xml:space="preserve"> </w:t>
      </w:r>
      <w:r w:rsidRPr="005642C9">
        <w:t>покласти</w:t>
      </w:r>
      <w:r w:rsidR="009D7145">
        <w:t xml:space="preserve"> </w:t>
      </w:r>
      <w:r w:rsidRPr="005642C9">
        <w:t>на</w:t>
      </w:r>
      <w:r w:rsidR="009D7145">
        <w:t xml:space="preserve"> </w:t>
      </w:r>
      <w:r w:rsidRPr="005642C9">
        <w:t>міського</w:t>
      </w:r>
      <w:r w:rsidR="009D7145">
        <w:t xml:space="preserve"> </w:t>
      </w:r>
      <w:r w:rsidRPr="005642C9">
        <w:t>голову.</w:t>
      </w:r>
    </w:p>
    <w:p w:rsidR="00210ED9" w:rsidRPr="006304DE" w:rsidRDefault="00210ED9" w:rsidP="00210ED9">
      <w:pPr>
        <w:pStyle w:val="a3"/>
        <w:ind w:right="267"/>
      </w:pPr>
    </w:p>
    <w:p w:rsidR="00210ED9" w:rsidRDefault="00210ED9" w:rsidP="00210ED9">
      <w:pPr>
        <w:spacing w:before="120"/>
        <w:ind w:firstLine="709"/>
        <w:jc w:val="both"/>
        <w:rPr>
          <w:rStyle w:val="a4"/>
        </w:rPr>
      </w:pPr>
    </w:p>
    <w:p w:rsidR="00210ED9" w:rsidRPr="006304DE" w:rsidRDefault="00210ED9" w:rsidP="00210ED9">
      <w:pPr>
        <w:pStyle w:val="a3"/>
        <w:ind w:right="267"/>
      </w:pPr>
      <w:r w:rsidRPr="006304DE">
        <w:tab/>
      </w:r>
    </w:p>
    <w:p w:rsidR="00210ED9" w:rsidRDefault="00210ED9" w:rsidP="009D7145">
      <w:pPr>
        <w:pStyle w:val="ac"/>
        <w:spacing w:before="12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677D7">
        <w:rPr>
          <w:rFonts w:ascii="Times New Roman" w:hAnsi="Times New Roman"/>
          <w:b w:val="0"/>
          <w:sz w:val="28"/>
          <w:szCs w:val="28"/>
        </w:rPr>
        <w:t xml:space="preserve">Міський голова          </w:t>
      </w:r>
      <w:r w:rsidR="009D7145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Pr="00E677D7">
        <w:rPr>
          <w:rFonts w:ascii="Times New Roman" w:hAnsi="Times New Roman"/>
          <w:b w:val="0"/>
          <w:sz w:val="28"/>
          <w:szCs w:val="28"/>
        </w:rPr>
        <w:t xml:space="preserve">                                            Сергій АНАНКО</w:t>
      </w:r>
    </w:p>
    <w:p w:rsidR="00210ED9" w:rsidRDefault="00210ED9" w:rsidP="00210ED9"/>
    <w:p w:rsidR="00210ED9" w:rsidRDefault="00210ED9" w:rsidP="00210ED9"/>
    <w:p w:rsidR="00210ED9" w:rsidRDefault="00210ED9" w:rsidP="00210ED9"/>
    <w:p w:rsidR="00210ED9" w:rsidRDefault="00210ED9" w:rsidP="00210ED9"/>
    <w:p w:rsidR="00210ED9" w:rsidRDefault="00210ED9" w:rsidP="00210ED9"/>
    <w:p w:rsidR="00210ED9" w:rsidRDefault="00210ED9" w:rsidP="00210ED9"/>
    <w:p w:rsidR="00210ED9" w:rsidRDefault="00210ED9" w:rsidP="00210ED9"/>
    <w:p w:rsidR="00210ED9" w:rsidRDefault="00210ED9" w:rsidP="00210ED9"/>
    <w:p w:rsidR="00210ED9" w:rsidRDefault="00210ED9" w:rsidP="00210ED9"/>
    <w:p w:rsidR="00210ED9" w:rsidRDefault="00210ED9" w:rsidP="00210ED9"/>
    <w:p w:rsidR="00210ED9" w:rsidRDefault="00210ED9" w:rsidP="00210ED9"/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ПОГОДЖЕНО</w:t>
      </w: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міської ради                                                       Юрій СТУДАНС</w:t>
      </w: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Перший заступник міського голови                                Олександр ЛИСЕНКО</w:t>
      </w: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Заступник міського голови                </w:t>
      </w:r>
      <w:bookmarkStart w:id="1" w:name="_Hlk67904985"/>
      <w:r>
        <w:rPr>
          <w:bCs/>
          <w:sz w:val="28"/>
          <w:szCs w:val="28"/>
        </w:rPr>
        <w:t xml:space="preserve">                               Богдан ДУБОВСЬКИЙ</w:t>
      </w: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bookmarkEnd w:id="1"/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міського голови                                               Тетяна КАРЛО</w:t>
      </w: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Керуючий справами</w:t>
      </w:r>
      <w:r>
        <w:rPr>
          <w:bCs/>
          <w:sz w:val="28"/>
          <w:szCs w:val="28"/>
        </w:rPr>
        <w:tab/>
        <w:t xml:space="preserve">                                                     Оксана ЯЦЕНКО</w:t>
      </w: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Юридичний відділ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Оксана СІЛКО</w:t>
      </w:r>
    </w:p>
    <w:p w:rsidR="00210ED9" w:rsidRDefault="00210ED9" w:rsidP="00210ED9">
      <w:pPr>
        <w:overflowPunct w:val="0"/>
        <w:adjustRightInd w:val="0"/>
        <w:rPr>
          <w:bCs/>
          <w:sz w:val="28"/>
          <w:szCs w:val="28"/>
        </w:rPr>
      </w:pPr>
    </w:p>
    <w:p w:rsidR="00210ED9" w:rsidRDefault="00210ED9" w:rsidP="00210ED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 фінансового управління                               Юлія ЛЮБЧЕНКО</w:t>
      </w:r>
      <w:bookmarkStart w:id="2" w:name="prognoz__22-24_r_дод"/>
      <w:bookmarkEnd w:id="2"/>
    </w:p>
    <w:p w:rsidR="003857C2" w:rsidRDefault="003857C2" w:rsidP="00210ED9">
      <w:pPr>
        <w:rPr>
          <w:bCs/>
          <w:sz w:val="28"/>
          <w:szCs w:val="28"/>
        </w:rPr>
        <w:sectPr w:rsidR="003857C2" w:rsidSect="003857C2">
          <w:pgSz w:w="11910" w:h="16840"/>
          <w:pgMar w:top="1134" w:right="567" w:bottom="-1134" w:left="1701" w:header="709" w:footer="709" w:gutter="0"/>
          <w:cols w:space="720"/>
        </w:sectPr>
      </w:pPr>
    </w:p>
    <w:p w:rsidR="00E513AB" w:rsidRDefault="009D7145" w:rsidP="00806A95">
      <w:pPr>
        <w:tabs>
          <w:tab w:val="left" w:pos="6521"/>
        </w:tabs>
        <w:ind w:left="567"/>
        <w:jc w:val="both"/>
      </w:pPr>
      <w:r>
        <w:rPr>
          <w:sz w:val="24"/>
          <w:szCs w:val="24"/>
        </w:rPr>
        <w:lastRenderedPageBreak/>
        <w:t xml:space="preserve">                                                              </w:t>
      </w:r>
    </w:p>
    <w:p w:rsidR="002C3C9D" w:rsidRDefault="002C3C9D" w:rsidP="002C3C9D">
      <w:pPr>
        <w:pStyle w:val="docdata"/>
        <w:tabs>
          <w:tab w:val="left" w:pos="6522"/>
        </w:tabs>
        <w:spacing w:before="0" w:beforeAutospacing="0" w:after="0" w:afterAutospacing="0"/>
        <w:ind w:left="567"/>
        <w:jc w:val="both"/>
      </w:pPr>
      <w:r>
        <w:rPr>
          <w:color w:val="000000"/>
          <w:lang w:val="uk-UA"/>
        </w:rPr>
        <w:t xml:space="preserve">                                                                                          </w:t>
      </w:r>
      <w:r>
        <w:rPr>
          <w:color w:val="000000"/>
        </w:rPr>
        <w:t xml:space="preserve">Додаток  </w:t>
      </w:r>
    </w:p>
    <w:p w:rsidR="002C3C9D" w:rsidRDefault="002C3C9D" w:rsidP="002C3C9D">
      <w:pPr>
        <w:pStyle w:val="a9"/>
        <w:spacing w:before="3" w:beforeAutospacing="0" w:after="0" w:afterAutospacing="0"/>
        <w:jc w:val="both"/>
      </w:pPr>
      <w:r>
        <w:rPr>
          <w:color w:val="000000"/>
        </w:rPr>
        <w:t>                                                                                                  до рішення виконавчого комітету</w:t>
      </w:r>
    </w:p>
    <w:p w:rsidR="002C3C9D" w:rsidRDefault="002C3C9D" w:rsidP="002C3C9D">
      <w:pPr>
        <w:pStyle w:val="a9"/>
        <w:tabs>
          <w:tab w:val="left" w:pos="6166"/>
          <w:tab w:val="left" w:pos="8379"/>
          <w:tab w:val="left" w:pos="9869"/>
        </w:tabs>
        <w:spacing w:before="0" w:beforeAutospacing="0" w:after="0" w:afterAutospacing="0"/>
        <w:jc w:val="both"/>
      </w:pPr>
      <w:r>
        <w:rPr>
          <w:color w:val="000000"/>
        </w:rPr>
        <w:t>                                                                                </w:t>
      </w:r>
      <w:r w:rsidR="00806A95">
        <w:rPr>
          <w:color w:val="000000"/>
        </w:rPr>
        <w:t>                  від __</w:t>
      </w:r>
      <w:r w:rsidR="00806A95">
        <w:rPr>
          <w:color w:val="000000"/>
          <w:u w:val="single"/>
          <w:lang w:val="uk-UA"/>
        </w:rPr>
        <w:t>26.08.2021</w:t>
      </w:r>
      <w:r w:rsidR="00806A95">
        <w:rPr>
          <w:color w:val="000000"/>
        </w:rPr>
        <w:t>__ №____</w:t>
      </w:r>
      <w:r w:rsidR="00806A95">
        <w:rPr>
          <w:color w:val="000000"/>
          <w:u w:val="single"/>
          <w:lang w:val="uk-UA"/>
        </w:rPr>
        <w:t>409</w:t>
      </w:r>
      <w:r>
        <w:rPr>
          <w:color w:val="000000"/>
        </w:rPr>
        <w:t>____</w:t>
      </w:r>
    </w:p>
    <w:p w:rsidR="002C3C9D" w:rsidRPr="002C3C9D" w:rsidRDefault="002C3C9D" w:rsidP="002C3C9D">
      <w:pPr>
        <w:pStyle w:val="a9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2C3C9D" w:rsidRDefault="002C3C9D" w:rsidP="002C3C9D">
      <w:pPr>
        <w:pStyle w:val="a9"/>
        <w:spacing w:before="9" w:beforeAutospacing="0" w:after="0" w:afterAutospacing="0"/>
      </w:pPr>
      <w:r>
        <w:t> </w:t>
      </w:r>
    </w:p>
    <w:p w:rsidR="002C3C9D" w:rsidRDefault="002C3C9D" w:rsidP="002C3C9D">
      <w:pPr>
        <w:pStyle w:val="2"/>
        <w:spacing w:before="87"/>
        <w:ind w:left="2138" w:right="1711"/>
        <w:jc w:val="center"/>
      </w:pPr>
      <w:r>
        <w:rPr>
          <w:color w:val="000000"/>
        </w:rPr>
        <w:t>ПРОГНОЗ</w:t>
      </w:r>
    </w:p>
    <w:p w:rsidR="002C3C9D" w:rsidRDefault="002C3C9D" w:rsidP="002C3C9D">
      <w:pPr>
        <w:pStyle w:val="a9"/>
        <w:spacing w:before="0" w:beforeAutospacing="0" w:after="0" w:afterAutospacing="0"/>
        <w:ind w:left="2141" w:right="1814"/>
        <w:jc w:val="center"/>
      </w:pPr>
      <w:r>
        <w:rPr>
          <w:b/>
          <w:bCs/>
          <w:color w:val="000000"/>
          <w:sz w:val="28"/>
          <w:szCs w:val="28"/>
        </w:rPr>
        <w:t>бюджету Смілянської міської територіальної громади  на 2022-2024 роки</w:t>
      </w:r>
    </w:p>
    <w:p w:rsidR="002C3C9D" w:rsidRDefault="002C3C9D" w:rsidP="002C3C9D">
      <w:pPr>
        <w:pStyle w:val="a9"/>
        <w:spacing w:before="0" w:beforeAutospacing="0" w:after="0" w:afterAutospacing="0"/>
        <w:ind w:left="979"/>
      </w:pPr>
      <w:r>
        <w:rPr>
          <w:color w:val="000000"/>
          <w:sz w:val="20"/>
          <w:szCs w:val="20"/>
        </w:rPr>
        <w:t> </w:t>
      </w:r>
      <w:r>
        <w:rPr>
          <w:b/>
          <w:bCs/>
          <w:color w:val="000000"/>
          <w:sz w:val="28"/>
          <w:szCs w:val="28"/>
          <w:u w:val="single"/>
        </w:rPr>
        <w:t>23573000000</w:t>
      </w:r>
    </w:p>
    <w:p w:rsidR="002C3C9D" w:rsidRDefault="002C3C9D" w:rsidP="002C3C9D">
      <w:pPr>
        <w:pStyle w:val="a9"/>
        <w:spacing w:before="0" w:beforeAutospacing="0" w:after="0" w:afterAutospacing="0"/>
        <w:ind w:left="979"/>
      </w:pPr>
      <w:r>
        <w:rPr>
          <w:color w:val="000000"/>
        </w:rPr>
        <w:t>(код бюджету)</w:t>
      </w:r>
    </w:p>
    <w:p w:rsidR="002C3C9D" w:rsidRDefault="002C3C9D" w:rsidP="002C3C9D">
      <w:pPr>
        <w:pStyle w:val="2"/>
        <w:ind w:left="2142" w:right="1711"/>
        <w:jc w:val="center"/>
      </w:pPr>
      <w:r>
        <w:t> </w:t>
      </w:r>
      <w:r>
        <w:rPr>
          <w:color w:val="000000"/>
        </w:rPr>
        <w:t>І. Загальна частина</w:t>
      </w:r>
    </w:p>
    <w:p w:rsidR="002C3C9D" w:rsidRPr="002C3C9D" w:rsidRDefault="002C3C9D" w:rsidP="002C3C9D">
      <w:pPr>
        <w:pStyle w:val="a9"/>
        <w:spacing w:before="0" w:beforeAutospacing="0" w:after="0" w:afterAutospacing="0"/>
        <w:ind w:left="709" w:right="146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</w:rPr>
        <w:t> </w:t>
      </w:r>
      <w:r w:rsidRPr="002C3C9D">
        <w:rPr>
          <w:b/>
          <w:bCs/>
          <w:color w:val="000000"/>
          <w:sz w:val="28"/>
          <w:szCs w:val="28"/>
          <w:lang w:val="uk-UA"/>
        </w:rPr>
        <w:tab/>
      </w:r>
      <w:r w:rsidRPr="002C3C9D">
        <w:rPr>
          <w:color w:val="000000"/>
          <w:sz w:val="28"/>
          <w:szCs w:val="28"/>
          <w:lang w:val="uk-UA"/>
        </w:rPr>
        <w:t>Прогноз бюджету Смілянської міської територіальної громади на 2022-2024 роки (далі – Прогноз) розроблено відповідно до статті 75¹</w:t>
      </w:r>
      <w:r>
        <w:rPr>
          <w:rFonts w:ascii="Calibri" w:hAnsi="Calibri"/>
          <w:color w:val="000000"/>
          <w:sz w:val="28"/>
          <w:szCs w:val="28"/>
        </w:rPr>
        <w:t> </w:t>
      </w:r>
      <w:r w:rsidRPr="002C3C9D">
        <w:rPr>
          <w:color w:val="000000"/>
          <w:sz w:val="28"/>
          <w:szCs w:val="28"/>
          <w:lang w:val="uk-UA"/>
        </w:rPr>
        <w:t xml:space="preserve">Бюджетного кодексу України, діючого Податкового та Бюджетного кодексів України та інших законодавчих актів, що стосуються місцевих бюджетів та міжбюджетних відносин. 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144" w:firstLine="566"/>
        <w:jc w:val="both"/>
      </w:pPr>
      <w:r>
        <w:rPr>
          <w:color w:val="000000"/>
          <w:sz w:val="28"/>
          <w:szCs w:val="28"/>
        </w:rPr>
        <w:t>Показники Прогнозу сформовано на підставі положень Бюджетної декларації на 2022-2024 роки, основних прогнозних макропоказників економічного і соціального розвитку України, схваленої постановою Кабінету Міністрів України від 31 травня 2021 року № 548, а також на основі комплексного аналізу економічної ситуації, стану фінансового потенціалу, оцінки досягнутого рівня розвитку економіки і соціальної сфери міста Сміли. Прогноз враховує положення Програми економічного і соціального розвитку міста Сміли на 2021 рік та основних напрямів розвитку на 2022 і 2024 роки, затвердженої рішенням Смілянської міської ради від 25 березня 2021 року № 173, і місцевих галузевих програм на відповідний період, затверджених міською радою. </w:t>
      </w:r>
    </w:p>
    <w:p w:rsidR="002C3C9D" w:rsidRDefault="002C3C9D" w:rsidP="002C3C9D">
      <w:pPr>
        <w:pStyle w:val="a9"/>
        <w:spacing w:before="0" w:beforeAutospacing="0" w:after="0" w:afterAutospacing="0"/>
        <w:ind w:left="720" w:right="153" w:firstLine="542"/>
        <w:jc w:val="both"/>
      </w:pPr>
      <w:r>
        <w:rPr>
          <w:color w:val="000000"/>
          <w:sz w:val="28"/>
          <w:szCs w:val="28"/>
        </w:rPr>
        <w:t xml:space="preserve">Прогноз є стратегічним документом планування показників бюджету міської територіальної громади на середньостроковий період і основою для складання проекту бюджету на 2022 рік.  </w:t>
      </w:r>
    </w:p>
    <w:p w:rsidR="002C3C9D" w:rsidRDefault="002C3C9D" w:rsidP="002C3C9D">
      <w:pPr>
        <w:pStyle w:val="a9"/>
        <w:spacing w:before="4" w:beforeAutospacing="0" w:after="0" w:afterAutospacing="0"/>
        <w:jc w:val="both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73" w:firstLine="56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Запровадження середньострокового бюджетного планування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73" w:firstLine="13"/>
        <w:jc w:val="both"/>
      </w:pPr>
      <w:r>
        <w:rPr>
          <w:color w:val="000000"/>
          <w:sz w:val="28"/>
          <w:szCs w:val="28"/>
        </w:rPr>
        <w:t> сприятиме забезпеченню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фінансової стабільності та зміцненню економічного зростання у середньостроковій перспективі. Спрямоване на забезпечення економічного зростання та сталого розвитку міста.</w:t>
      </w:r>
    </w:p>
    <w:p w:rsidR="002C3C9D" w:rsidRDefault="002C3C9D" w:rsidP="002C3C9D">
      <w:pPr>
        <w:pStyle w:val="a9"/>
        <w:spacing w:before="2" w:beforeAutospacing="0" w:after="0" w:afterAutospacing="0"/>
        <w:ind w:left="696" w:right="272" w:firstLine="56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Мета прогнозу 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>запровадження середньострокового бюджетного </w:t>
      </w:r>
    </w:p>
    <w:p w:rsidR="002C3C9D" w:rsidRDefault="002C3C9D" w:rsidP="002C3C9D">
      <w:pPr>
        <w:pStyle w:val="a9"/>
        <w:spacing w:before="2" w:beforeAutospacing="0" w:after="0" w:afterAutospacing="0"/>
        <w:ind w:left="696" w:right="272" w:firstLine="13"/>
        <w:jc w:val="both"/>
      </w:pPr>
      <w:r>
        <w:rPr>
          <w:color w:val="000000"/>
          <w:sz w:val="28"/>
          <w:szCs w:val="28"/>
        </w:rPr>
        <w:t>прогнозування для встановлення взаємозв’язку між стратегічними цілями розвитку міста та можливостями бюджету.</w:t>
      </w:r>
    </w:p>
    <w:p w:rsidR="002C3C9D" w:rsidRDefault="002C3C9D" w:rsidP="002C3C9D">
      <w:pPr>
        <w:pStyle w:val="a9"/>
        <w:spacing w:before="0" w:beforeAutospacing="0" w:after="0" w:afterAutospacing="0"/>
        <w:ind w:left="1263"/>
        <w:jc w:val="both"/>
      </w:pPr>
      <w:r>
        <w:rPr>
          <w:color w:val="000000"/>
          <w:sz w:val="28"/>
          <w:szCs w:val="28"/>
        </w:rPr>
        <w:t>Основними цілями бюджетної політики м. Сміли в 2022-2024              роках є:</w:t>
      </w:r>
    </w:p>
    <w:p w:rsidR="002C3C9D" w:rsidRDefault="002C3C9D" w:rsidP="002C3C9D">
      <w:pPr>
        <w:pStyle w:val="a9"/>
        <w:tabs>
          <w:tab w:val="left" w:pos="1417"/>
        </w:tabs>
        <w:spacing w:before="0" w:beforeAutospacing="0" w:after="0" w:afterAutospacing="0"/>
        <w:ind w:left="709" w:right="269" w:firstLine="567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>забезпечення надходжень до бюджету Смілянської міської територіальної громади з урахуванням позитивної динаміки у порівнянні з попередніми роками;</w:t>
      </w:r>
    </w:p>
    <w:p w:rsidR="002C3C9D" w:rsidRDefault="002C3C9D" w:rsidP="002C3C9D">
      <w:pPr>
        <w:pStyle w:val="a9"/>
        <w:tabs>
          <w:tab w:val="left" w:pos="1417"/>
        </w:tabs>
        <w:spacing w:before="0" w:beforeAutospacing="0" w:after="0" w:afterAutospacing="0"/>
        <w:ind w:left="709" w:right="268" w:firstLine="567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>підвищення прозорості та ефективності управління бюджетними коштами шляхом використання елементів програмно-цільового методу планування і виконання місцевих бюджетів;</w:t>
      </w:r>
    </w:p>
    <w:p w:rsidR="002C3C9D" w:rsidRDefault="002C3C9D" w:rsidP="0012454F">
      <w:pPr>
        <w:pStyle w:val="a9"/>
        <w:tabs>
          <w:tab w:val="left" w:pos="1417"/>
        </w:tabs>
        <w:spacing w:before="0" w:beforeAutospacing="0" w:after="0" w:afterAutospacing="0"/>
        <w:ind w:left="1982" w:right="263" w:hanging="70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>забезпечення у повному обсязі проведення видатків на оплату праці </w:t>
      </w:r>
    </w:p>
    <w:p w:rsidR="004423FB" w:rsidRDefault="004423FB" w:rsidP="0012454F">
      <w:pPr>
        <w:pStyle w:val="a9"/>
        <w:tabs>
          <w:tab w:val="left" w:pos="1417"/>
        </w:tabs>
        <w:spacing w:before="0" w:beforeAutospacing="0" w:after="0" w:afterAutospacing="0"/>
        <w:ind w:right="261"/>
        <w:jc w:val="both"/>
        <w:rPr>
          <w:color w:val="000000"/>
          <w:sz w:val="28"/>
          <w:szCs w:val="28"/>
          <w:lang w:val="uk-UA"/>
        </w:rPr>
      </w:pPr>
    </w:p>
    <w:p w:rsidR="004423FB" w:rsidRPr="002C3C9D" w:rsidRDefault="004423FB" w:rsidP="0012454F">
      <w:pPr>
        <w:pStyle w:val="a9"/>
        <w:tabs>
          <w:tab w:val="left" w:pos="1417"/>
        </w:tabs>
        <w:spacing w:before="0" w:beforeAutospacing="0" w:after="0" w:afterAutospacing="0"/>
        <w:ind w:right="26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</w:t>
      </w:r>
    </w:p>
    <w:p w:rsidR="002C3C9D" w:rsidRDefault="002C3C9D" w:rsidP="0012454F">
      <w:pPr>
        <w:pStyle w:val="a9"/>
        <w:tabs>
          <w:tab w:val="left" w:pos="1417"/>
        </w:tabs>
        <w:spacing w:before="0" w:beforeAutospacing="0" w:after="0" w:afterAutospacing="0"/>
        <w:ind w:left="1262" w:right="261"/>
        <w:jc w:val="right"/>
      </w:pPr>
      <w:r>
        <w:rPr>
          <w:color w:val="000000"/>
        </w:rPr>
        <w:t>Продовження додатку</w:t>
      </w:r>
    </w:p>
    <w:p w:rsidR="002C3C9D" w:rsidRDefault="002C3C9D" w:rsidP="0012454F">
      <w:pPr>
        <w:pStyle w:val="a9"/>
        <w:tabs>
          <w:tab w:val="left" w:pos="1417"/>
        </w:tabs>
        <w:spacing w:before="0" w:beforeAutospacing="0" w:after="0" w:afterAutospacing="0"/>
        <w:ind w:left="1262" w:right="261"/>
        <w:jc w:val="right"/>
      </w:pPr>
      <w:r>
        <w:t> </w:t>
      </w:r>
    </w:p>
    <w:p w:rsidR="002C3C9D" w:rsidRDefault="002C3C9D" w:rsidP="0012454F">
      <w:pPr>
        <w:pStyle w:val="a9"/>
        <w:spacing w:before="0" w:beforeAutospacing="0" w:after="0" w:afterAutospacing="0"/>
        <w:ind w:left="709" w:right="261"/>
        <w:jc w:val="both"/>
      </w:pPr>
      <w:r>
        <w:rPr>
          <w:color w:val="000000"/>
          <w:sz w:val="28"/>
          <w:szCs w:val="28"/>
        </w:rPr>
        <w:t>працівників бюджетних установ відповідно до умов оплати праці та розміру мінімальної заробітної плати, інших соціальних виплат, а також розрахунків за енергоносії та комунальні послуги;</w:t>
      </w:r>
    </w:p>
    <w:p w:rsidR="002C3C9D" w:rsidRDefault="002C3C9D" w:rsidP="002C3C9D">
      <w:pPr>
        <w:pStyle w:val="a9"/>
        <w:tabs>
          <w:tab w:val="left" w:pos="1417"/>
        </w:tabs>
        <w:spacing w:before="0" w:beforeAutospacing="0" w:after="0" w:afterAutospacing="0"/>
        <w:ind w:left="2137" w:hanging="719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>здійснення видатків бюджету відповідно до соціальних стандартів;</w:t>
      </w:r>
    </w:p>
    <w:p w:rsidR="002C3C9D" w:rsidRDefault="002C3C9D" w:rsidP="0012454F">
      <w:pPr>
        <w:pStyle w:val="a9"/>
        <w:tabs>
          <w:tab w:val="left" w:pos="1417"/>
        </w:tabs>
        <w:spacing w:before="0" w:beforeAutospacing="0" w:after="0" w:afterAutospacing="0"/>
        <w:ind w:left="709" w:right="277" w:firstLine="709"/>
        <w:jc w:val="both"/>
      </w:pPr>
      <w:r>
        <w:rPr>
          <w:color w:val="000000"/>
          <w:sz w:val="28"/>
          <w:szCs w:val="28"/>
        </w:rPr>
        <w:t>забезпечення необхідних фінансових пропорцій згідно з планом економічного і соціального розвитку міста;</w:t>
      </w:r>
    </w:p>
    <w:p w:rsidR="002C3C9D" w:rsidRDefault="0012454F" w:rsidP="0012454F">
      <w:pPr>
        <w:pStyle w:val="a9"/>
        <w:tabs>
          <w:tab w:val="left" w:pos="1417"/>
        </w:tabs>
        <w:spacing w:before="0" w:beforeAutospacing="0" w:after="0" w:afterAutospacing="0"/>
        <w:ind w:left="709" w:firstLine="851"/>
        <w:jc w:val="both"/>
      </w:pPr>
      <w:r>
        <w:rPr>
          <w:color w:val="000000"/>
          <w:sz w:val="28"/>
          <w:szCs w:val="28"/>
          <w:lang w:val="uk-UA"/>
        </w:rPr>
        <w:t>-</w:t>
      </w:r>
      <w:r w:rsidR="002C3C9D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значення резервів росту доходів</w:t>
      </w:r>
      <w:r>
        <w:rPr>
          <w:color w:val="000000"/>
          <w:sz w:val="28"/>
          <w:szCs w:val="28"/>
          <w:lang w:val="uk-UA"/>
        </w:rPr>
        <w:t xml:space="preserve"> </w:t>
      </w:r>
      <w:r w:rsidR="002C3C9D">
        <w:rPr>
          <w:color w:val="000000"/>
          <w:sz w:val="28"/>
          <w:szCs w:val="28"/>
        </w:rPr>
        <w:t>бюджету міської територіальної громади;</w:t>
      </w:r>
    </w:p>
    <w:p w:rsidR="002C3C9D" w:rsidRDefault="0012454F" w:rsidP="0012454F">
      <w:pPr>
        <w:pStyle w:val="a9"/>
        <w:tabs>
          <w:tab w:val="left" w:pos="1417"/>
          <w:tab w:val="left" w:pos="3407"/>
          <w:tab w:val="left" w:pos="6818"/>
          <w:tab w:val="left" w:pos="8218"/>
          <w:tab w:val="left" w:pos="9541"/>
        </w:tabs>
        <w:spacing w:before="0" w:beforeAutospacing="0" w:after="0" w:afterAutospacing="0"/>
        <w:ind w:right="271" w:firstLine="1418"/>
        <w:jc w:val="both"/>
      </w:pPr>
      <w:r>
        <w:rPr>
          <w:color w:val="000000"/>
          <w:sz w:val="28"/>
          <w:szCs w:val="28"/>
          <w:lang w:val="uk-UA"/>
        </w:rPr>
        <w:t>-</w:t>
      </w:r>
      <w:r w:rsidR="002C3C9D">
        <w:rPr>
          <w:color w:val="000000"/>
          <w:sz w:val="28"/>
          <w:szCs w:val="28"/>
        </w:rPr>
        <w:t>стимулювання</w:t>
      </w:r>
      <w:r w:rsidR="002C3C9D">
        <w:rPr>
          <w:color w:val="000000"/>
          <w:sz w:val="28"/>
          <w:szCs w:val="28"/>
        </w:rPr>
        <w:tab/>
        <w:t>інвестиційно-інноваційної</w:t>
      </w:r>
      <w:r w:rsidR="002C3C9D">
        <w:rPr>
          <w:color w:val="000000"/>
          <w:sz w:val="28"/>
          <w:szCs w:val="28"/>
        </w:rPr>
        <w:tab/>
        <w:t>складової</w:t>
      </w:r>
      <w:r w:rsidR="002C3C9D">
        <w:rPr>
          <w:color w:val="000000"/>
          <w:sz w:val="28"/>
          <w:szCs w:val="28"/>
        </w:rPr>
        <w:tab/>
        <w:t>бюджету розвитку міської територіальної громади.</w:t>
      </w:r>
    </w:p>
    <w:p w:rsidR="002C3C9D" w:rsidRDefault="002C3C9D" w:rsidP="002C3C9D">
      <w:pPr>
        <w:pStyle w:val="a9"/>
        <w:spacing w:before="0" w:beforeAutospacing="0" w:after="0" w:afterAutospacing="0"/>
        <w:ind w:left="1263"/>
        <w:jc w:val="both"/>
      </w:pPr>
      <w:r>
        <w:rPr>
          <w:color w:val="000000"/>
          <w:sz w:val="28"/>
          <w:szCs w:val="28"/>
        </w:rPr>
        <w:t>Основними завданнями Прогнозу є:</w:t>
      </w:r>
    </w:p>
    <w:p w:rsidR="002C3C9D" w:rsidRDefault="0012454F" w:rsidP="0012454F">
      <w:pPr>
        <w:pStyle w:val="a9"/>
        <w:tabs>
          <w:tab w:val="left" w:pos="1417"/>
          <w:tab w:val="left" w:pos="3032"/>
          <w:tab w:val="left" w:pos="5282"/>
          <w:tab w:val="left" w:pos="5727"/>
          <w:tab w:val="left" w:pos="7512"/>
          <w:tab w:val="left" w:pos="9046"/>
        </w:tabs>
        <w:spacing w:before="0" w:beforeAutospacing="0" w:after="0" w:afterAutospacing="0"/>
        <w:ind w:left="1982" w:right="277"/>
        <w:jc w:val="both"/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>підвищення</w:t>
      </w:r>
      <w:r w:rsidR="002C3C9D">
        <w:rPr>
          <w:color w:val="000000"/>
          <w:sz w:val="28"/>
          <w:szCs w:val="28"/>
        </w:rPr>
        <w:t>результативності</w:t>
      </w:r>
      <w:r w:rsidR="002C3C9D">
        <w:rPr>
          <w:color w:val="000000"/>
          <w:sz w:val="28"/>
          <w:szCs w:val="28"/>
        </w:rPr>
        <w:tab/>
        <w:t>та</w:t>
      </w:r>
      <w:r w:rsidR="002C3C9D">
        <w:rPr>
          <w:color w:val="000000"/>
          <w:sz w:val="28"/>
          <w:szCs w:val="28"/>
        </w:rPr>
        <w:tab/>
        <w:t>ефективності</w:t>
      </w:r>
      <w:r w:rsidR="002C3C9D">
        <w:rPr>
          <w:color w:val="000000"/>
          <w:sz w:val="28"/>
          <w:szCs w:val="28"/>
        </w:rPr>
        <w:tab/>
        <w:t>управління</w:t>
      </w:r>
      <w:r w:rsidR="002C3C9D">
        <w:rPr>
          <w:color w:val="000000"/>
          <w:sz w:val="28"/>
          <w:szCs w:val="28"/>
        </w:rPr>
        <w:tab/>
        <w:t>бюджетними коштами;</w:t>
      </w:r>
    </w:p>
    <w:p w:rsidR="002C3C9D" w:rsidRPr="0012454F" w:rsidRDefault="004423FB" w:rsidP="004423FB">
      <w:pPr>
        <w:pStyle w:val="a9"/>
        <w:tabs>
          <w:tab w:val="left" w:pos="709"/>
        </w:tabs>
        <w:spacing w:before="4" w:beforeAutospacing="0" w:after="0" w:afterAutospacing="0"/>
        <w:ind w:left="1418" w:right="267" w:hanging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2C3C9D" w:rsidRPr="0012454F">
        <w:rPr>
          <w:color w:val="000000"/>
          <w:sz w:val="28"/>
          <w:szCs w:val="28"/>
          <w:lang w:val="uk-UA"/>
        </w:rPr>
        <w:t>забезпечення</w:t>
      </w:r>
      <w:r>
        <w:rPr>
          <w:color w:val="000000"/>
          <w:sz w:val="28"/>
          <w:szCs w:val="28"/>
          <w:lang w:val="uk-UA"/>
        </w:rPr>
        <w:t xml:space="preserve"> </w:t>
      </w:r>
      <w:r w:rsidR="002C3C9D">
        <w:rPr>
          <w:color w:val="000000"/>
          <w:sz w:val="28"/>
          <w:szCs w:val="28"/>
        </w:rPr>
        <w:t> </w:t>
      </w:r>
      <w:r w:rsidR="002C3C9D" w:rsidRPr="0012454F">
        <w:rPr>
          <w:color w:val="000000"/>
          <w:sz w:val="28"/>
          <w:szCs w:val="28"/>
          <w:lang w:val="uk-UA"/>
        </w:rPr>
        <w:t>виконання</w:t>
      </w:r>
      <w:r w:rsidR="002C3C9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 w:rsidR="002C3C9D" w:rsidRPr="0012454F">
        <w:rPr>
          <w:color w:val="000000"/>
          <w:sz w:val="28"/>
          <w:szCs w:val="28"/>
          <w:lang w:val="uk-UA"/>
        </w:rPr>
        <w:t>доходної</w:t>
      </w:r>
      <w:r>
        <w:rPr>
          <w:color w:val="000000"/>
          <w:sz w:val="28"/>
          <w:szCs w:val="28"/>
          <w:lang w:val="uk-UA"/>
        </w:rPr>
        <w:t xml:space="preserve"> </w:t>
      </w:r>
      <w:r w:rsidR="002C3C9D">
        <w:rPr>
          <w:color w:val="000000"/>
          <w:sz w:val="28"/>
          <w:szCs w:val="28"/>
        </w:rPr>
        <w:t> </w:t>
      </w:r>
      <w:r w:rsidR="002C3C9D" w:rsidRPr="0012454F">
        <w:rPr>
          <w:color w:val="000000"/>
          <w:sz w:val="28"/>
          <w:szCs w:val="28"/>
          <w:lang w:val="uk-UA"/>
        </w:rPr>
        <w:t>частини</w:t>
      </w:r>
      <w:r w:rsidR="002C3C9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 w:rsidR="002C3C9D" w:rsidRPr="0012454F">
        <w:rPr>
          <w:color w:val="000000"/>
          <w:sz w:val="28"/>
          <w:szCs w:val="28"/>
          <w:lang w:val="uk-UA"/>
        </w:rPr>
        <w:t>бюджету</w:t>
      </w:r>
      <w:r>
        <w:rPr>
          <w:color w:val="000000"/>
          <w:sz w:val="28"/>
          <w:szCs w:val="28"/>
          <w:lang w:val="uk-UA"/>
        </w:rPr>
        <w:t xml:space="preserve"> </w:t>
      </w:r>
      <w:r w:rsidR="002C3C9D">
        <w:rPr>
          <w:color w:val="000000"/>
          <w:sz w:val="28"/>
          <w:szCs w:val="28"/>
        </w:rPr>
        <w:t> </w:t>
      </w:r>
      <w:r w:rsidR="002C3C9D" w:rsidRPr="0012454F">
        <w:rPr>
          <w:color w:val="000000"/>
          <w:sz w:val="28"/>
          <w:szCs w:val="28"/>
          <w:lang w:val="uk-UA"/>
        </w:rPr>
        <w:t>Смілянської</w:t>
      </w:r>
      <w:r w:rsidR="002C3C9D">
        <w:rPr>
          <w:color w:val="000000"/>
          <w:sz w:val="28"/>
          <w:szCs w:val="28"/>
        </w:rPr>
        <w:t> </w:t>
      </w:r>
      <w:r w:rsidR="002C3C9D" w:rsidRPr="0012454F">
        <w:rPr>
          <w:color w:val="000000"/>
          <w:sz w:val="28"/>
          <w:szCs w:val="28"/>
          <w:lang w:val="uk-UA"/>
        </w:rPr>
        <w:t>міської</w:t>
      </w:r>
      <w:r w:rsidR="002C3C9D">
        <w:rPr>
          <w:color w:val="000000"/>
          <w:sz w:val="28"/>
          <w:szCs w:val="28"/>
        </w:rPr>
        <w:t> </w:t>
      </w:r>
      <w:r w:rsidR="002C3C9D" w:rsidRPr="0012454F">
        <w:rPr>
          <w:color w:val="000000"/>
          <w:sz w:val="28"/>
          <w:szCs w:val="28"/>
          <w:lang w:val="uk-UA"/>
        </w:rPr>
        <w:t>територіальної</w:t>
      </w:r>
      <w:r w:rsidR="002C3C9D">
        <w:rPr>
          <w:color w:val="000000"/>
          <w:sz w:val="28"/>
          <w:szCs w:val="28"/>
        </w:rPr>
        <w:t> </w:t>
      </w:r>
      <w:r w:rsidR="002C3C9D" w:rsidRPr="0012454F">
        <w:rPr>
          <w:color w:val="000000"/>
          <w:sz w:val="28"/>
          <w:szCs w:val="28"/>
          <w:lang w:val="uk-UA"/>
        </w:rPr>
        <w:t>громади</w:t>
      </w:r>
      <w:r w:rsidR="002C3C9D">
        <w:rPr>
          <w:color w:val="000000"/>
          <w:sz w:val="28"/>
          <w:szCs w:val="28"/>
        </w:rPr>
        <w:t> </w:t>
      </w:r>
      <w:r w:rsidR="002C3C9D" w:rsidRPr="0012454F">
        <w:rPr>
          <w:color w:val="000000"/>
          <w:sz w:val="28"/>
          <w:szCs w:val="28"/>
          <w:lang w:val="uk-UA"/>
        </w:rPr>
        <w:t>відповідно</w:t>
      </w:r>
      <w:r w:rsidR="002C3C9D">
        <w:rPr>
          <w:color w:val="000000"/>
          <w:sz w:val="28"/>
          <w:szCs w:val="28"/>
        </w:rPr>
        <w:t> </w:t>
      </w:r>
      <w:r w:rsidR="002C3C9D" w:rsidRPr="0012454F">
        <w:rPr>
          <w:color w:val="000000"/>
          <w:sz w:val="28"/>
          <w:szCs w:val="28"/>
          <w:lang w:val="uk-UA"/>
        </w:rPr>
        <w:t>до</w:t>
      </w:r>
      <w:r w:rsidR="002C3C9D">
        <w:rPr>
          <w:color w:val="000000"/>
          <w:sz w:val="28"/>
          <w:szCs w:val="28"/>
        </w:rPr>
        <w:t> </w:t>
      </w:r>
      <w:r w:rsidR="002C3C9D" w:rsidRPr="0012454F">
        <w:rPr>
          <w:color w:val="000000"/>
          <w:sz w:val="28"/>
          <w:szCs w:val="28"/>
          <w:lang w:val="uk-UA"/>
        </w:rPr>
        <w:t>показників, затверджених</w:t>
      </w:r>
      <w:r w:rsidR="002C3C9D">
        <w:rPr>
          <w:color w:val="000000"/>
          <w:sz w:val="28"/>
          <w:szCs w:val="28"/>
        </w:rPr>
        <w:t> </w:t>
      </w:r>
      <w:r w:rsidR="002C3C9D" w:rsidRPr="0012454F">
        <w:rPr>
          <w:color w:val="000000"/>
          <w:sz w:val="28"/>
          <w:szCs w:val="28"/>
          <w:lang w:val="uk-UA"/>
        </w:rPr>
        <w:t>міською</w:t>
      </w:r>
      <w:r w:rsidR="002C3C9D">
        <w:rPr>
          <w:color w:val="000000"/>
          <w:sz w:val="28"/>
          <w:szCs w:val="28"/>
        </w:rPr>
        <w:t> </w:t>
      </w:r>
      <w:r w:rsidR="002C3C9D" w:rsidRPr="0012454F">
        <w:rPr>
          <w:color w:val="000000"/>
          <w:sz w:val="28"/>
          <w:szCs w:val="28"/>
          <w:lang w:val="uk-UA"/>
        </w:rPr>
        <w:t>радою;</w:t>
      </w:r>
    </w:p>
    <w:p w:rsidR="002C3C9D" w:rsidRDefault="0012454F" w:rsidP="004423FB">
      <w:pPr>
        <w:pStyle w:val="a9"/>
        <w:tabs>
          <w:tab w:val="left" w:pos="1417"/>
          <w:tab w:val="left" w:pos="2505"/>
          <w:tab w:val="left" w:pos="3613"/>
          <w:tab w:val="left" w:pos="4140"/>
          <w:tab w:val="left" w:pos="5593"/>
          <w:tab w:val="left" w:pos="7209"/>
          <w:tab w:val="left" w:pos="8884"/>
          <w:tab w:val="left" w:pos="9422"/>
        </w:tabs>
        <w:spacing w:before="4" w:beforeAutospacing="0" w:after="0" w:afterAutospacing="0"/>
        <w:ind w:left="1560" w:hanging="851"/>
        <w:jc w:val="both"/>
      </w:pPr>
      <w:r>
        <w:rPr>
          <w:color w:val="000000"/>
          <w:sz w:val="28"/>
          <w:szCs w:val="28"/>
          <w:lang w:val="uk-UA"/>
        </w:rPr>
        <w:t>-</w:t>
      </w:r>
      <w:r w:rsidR="004423FB">
        <w:rPr>
          <w:color w:val="000000"/>
          <w:sz w:val="28"/>
          <w:szCs w:val="28"/>
        </w:rPr>
        <w:t>вжиття</w:t>
      </w:r>
      <w:r w:rsidR="004423FB">
        <w:rPr>
          <w:color w:val="000000"/>
          <w:sz w:val="28"/>
          <w:szCs w:val="28"/>
          <w:lang w:val="uk-UA"/>
        </w:rPr>
        <w:t xml:space="preserve"> </w:t>
      </w:r>
      <w:r w:rsidR="004423FB">
        <w:rPr>
          <w:color w:val="000000"/>
          <w:sz w:val="28"/>
          <w:szCs w:val="28"/>
        </w:rPr>
        <w:t>заходів</w:t>
      </w:r>
      <w:r w:rsidR="004423FB">
        <w:rPr>
          <w:color w:val="000000"/>
          <w:sz w:val="28"/>
          <w:szCs w:val="28"/>
          <w:lang w:val="uk-UA"/>
        </w:rPr>
        <w:t xml:space="preserve"> </w:t>
      </w:r>
      <w:r w:rsidR="004423FB">
        <w:rPr>
          <w:color w:val="000000"/>
          <w:sz w:val="28"/>
          <w:szCs w:val="28"/>
        </w:rPr>
        <w:t>до</w:t>
      </w:r>
      <w:r w:rsidR="004423FB">
        <w:rPr>
          <w:color w:val="000000"/>
          <w:sz w:val="28"/>
          <w:szCs w:val="28"/>
          <w:lang w:val="uk-UA"/>
        </w:rPr>
        <w:t xml:space="preserve"> </w:t>
      </w:r>
      <w:r w:rsidR="002C3C9D">
        <w:rPr>
          <w:color w:val="000000"/>
          <w:sz w:val="28"/>
          <w:szCs w:val="28"/>
        </w:rPr>
        <w:t>зал</w:t>
      </w:r>
      <w:r w:rsidR="004423FB">
        <w:rPr>
          <w:color w:val="000000"/>
          <w:sz w:val="28"/>
          <w:szCs w:val="28"/>
        </w:rPr>
        <w:t>учення</w:t>
      </w:r>
      <w:r w:rsidR="004423FB">
        <w:rPr>
          <w:color w:val="000000"/>
          <w:sz w:val="28"/>
          <w:szCs w:val="28"/>
          <w:lang w:val="uk-UA"/>
        </w:rPr>
        <w:t xml:space="preserve"> </w:t>
      </w:r>
      <w:r w:rsidR="004423FB">
        <w:rPr>
          <w:color w:val="000000"/>
          <w:sz w:val="28"/>
          <w:szCs w:val="28"/>
        </w:rPr>
        <w:t>додатковихнадходжень</w:t>
      </w:r>
      <w:r w:rsidR="004423FB">
        <w:rPr>
          <w:color w:val="000000"/>
          <w:sz w:val="28"/>
          <w:szCs w:val="28"/>
          <w:lang w:val="uk-UA"/>
        </w:rPr>
        <w:t xml:space="preserve"> </w:t>
      </w:r>
      <w:r w:rsidR="004423FB">
        <w:rPr>
          <w:color w:val="000000"/>
          <w:sz w:val="28"/>
          <w:szCs w:val="28"/>
        </w:rPr>
        <w:t>д</w:t>
      </w:r>
      <w:r w:rsidR="004423FB">
        <w:rPr>
          <w:color w:val="000000"/>
          <w:sz w:val="28"/>
          <w:szCs w:val="28"/>
          <w:lang w:val="uk-UA"/>
        </w:rPr>
        <w:t xml:space="preserve">о   </w:t>
      </w:r>
      <w:r w:rsidR="002C3C9D">
        <w:rPr>
          <w:color w:val="000000"/>
          <w:sz w:val="28"/>
          <w:szCs w:val="28"/>
        </w:rPr>
        <w:t>бюджету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64"/>
        <w:jc w:val="both"/>
      </w:pPr>
      <w:r>
        <w:rPr>
          <w:color w:val="000000"/>
          <w:sz w:val="28"/>
          <w:szCs w:val="28"/>
        </w:rPr>
        <w:t>Смілянської міської територіальної громади, зокрема, шляхом забезпечення ефективного управління об’єктами комунальної власності та земельними ресурсами;</w:t>
      </w:r>
    </w:p>
    <w:p w:rsidR="002C3C9D" w:rsidRPr="0012454F" w:rsidRDefault="0012454F" w:rsidP="004423FB">
      <w:pPr>
        <w:pStyle w:val="a9"/>
        <w:tabs>
          <w:tab w:val="left" w:pos="1417"/>
          <w:tab w:val="left" w:pos="3090"/>
          <w:tab w:val="left" w:pos="4931"/>
          <w:tab w:val="left" w:pos="6524"/>
          <w:tab w:val="left" w:pos="8338"/>
          <w:tab w:val="left" w:pos="9661"/>
        </w:tabs>
        <w:spacing w:before="0" w:beforeAutospacing="0" w:after="0" w:afterAutospacing="0"/>
        <w:ind w:left="1418" w:right="27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2C3C9D">
        <w:rPr>
          <w:color w:val="000000"/>
          <w:sz w:val="28"/>
          <w:szCs w:val="28"/>
        </w:rPr>
        <w:t>під</w:t>
      </w:r>
      <w:r>
        <w:rPr>
          <w:color w:val="000000"/>
          <w:sz w:val="28"/>
          <w:szCs w:val="28"/>
        </w:rPr>
        <w:t>вищення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ефективності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управління</w:t>
      </w:r>
      <w:r>
        <w:rPr>
          <w:color w:val="000000"/>
          <w:sz w:val="28"/>
          <w:szCs w:val="28"/>
          <w:lang w:val="uk-UA"/>
        </w:rPr>
        <w:t xml:space="preserve"> </w:t>
      </w:r>
      <w:r w:rsidR="002C3C9D">
        <w:rPr>
          <w:color w:val="000000"/>
          <w:sz w:val="28"/>
          <w:szCs w:val="28"/>
        </w:rPr>
        <w:t>бюджетними</w:t>
      </w:r>
      <w:r>
        <w:rPr>
          <w:color w:val="000000"/>
          <w:sz w:val="28"/>
          <w:szCs w:val="28"/>
          <w:lang w:val="uk-UA"/>
        </w:rPr>
        <w:t xml:space="preserve"> </w:t>
      </w:r>
      <w:r w:rsidR="002C3C9D">
        <w:rPr>
          <w:color w:val="000000"/>
          <w:sz w:val="28"/>
          <w:szCs w:val="28"/>
        </w:rPr>
        <w:t>кош</w:t>
      </w:r>
      <w:r>
        <w:rPr>
          <w:color w:val="000000"/>
          <w:sz w:val="28"/>
          <w:szCs w:val="28"/>
        </w:rPr>
        <w:t>тами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шляхом застосування дієвих</w:t>
      </w:r>
      <w:r w:rsidR="004423FB">
        <w:rPr>
          <w:color w:val="000000"/>
          <w:sz w:val="28"/>
          <w:szCs w:val="28"/>
          <w:lang w:val="uk-UA"/>
        </w:rPr>
        <w:t xml:space="preserve"> </w:t>
      </w:r>
      <w:r w:rsidR="002C3C9D">
        <w:rPr>
          <w:color w:val="000000"/>
          <w:sz w:val="28"/>
          <w:szCs w:val="28"/>
        </w:rPr>
        <w:t>методів економії бюджетних коштів;</w:t>
      </w:r>
    </w:p>
    <w:p w:rsidR="002C3C9D" w:rsidRDefault="0012454F" w:rsidP="004423FB">
      <w:pPr>
        <w:pStyle w:val="a9"/>
        <w:tabs>
          <w:tab w:val="left" w:pos="1417"/>
        </w:tabs>
        <w:spacing w:before="0" w:beforeAutospacing="0" w:after="0" w:afterAutospacing="0"/>
        <w:ind w:left="1418" w:right="270"/>
        <w:jc w:val="both"/>
      </w:pPr>
      <w:r>
        <w:rPr>
          <w:color w:val="000000"/>
          <w:sz w:val="28"/>
          <w:szCs w:val="28"/>
          <w:lang w:val="uk-UA"/>
        </w:rPr>
        <w:t>-</w:t>
      </w:r>
      <w:r w:rsidR="002C3C9D">
        <w:rPr>
          <w:color w:val="000000"/>
          <w:sz w:val="28"/>
          <w:szCs w:val="28"/>
        </w:rPr>
        <w:t>забезпечення стабільного функ</w:t>
      </w:r>
      <w:r>
        <w:rPr>
          <w:color w:val="000000"/>
          <w:sz w:val="28"/>
          <w:szCs w:val="28"/>
        </w:rPr>
        <w:t>ціонування бюджетних установ та</w:t>
      </w:r>
      <w:r w:rsidR="002C3C9D">
        <w:rPr>
          <w:color w:val="000000"/>
          <w:sz w:val="28"/>
          <w:szCs w:val="28"/>
        </w:rPr>
        <w:t>виконання заходів, передбачених міськими цільовими (комплексними) програмами;</w:t>
      </w:r>
    </w:p>
    <w:p w:rsidR="002C3C9D" w:rsidRDefault="0012454F" w:rsidP="004423FB">
      <w:pPr>
        <w:pStyle w:val="a9"/>
        <w:tabs>
          <w:tab w:val="left" w:pos="1417"/>
        </w:tabs>
        <w:spacing w:before="0" w:beforeAutospacing="0" w:after="0" w:afterAutospacing="0"/>
        <w:ind w:firstLine="1418"/>
      </w:pPr>
      <w:r>
        <w:rPr>
          <w:color w:val="000000"/>
          <w:sz w:val="28"/>
          <w:szCs w:val="28"/>
          <w:lang w:val="uk-UA"/>
        </w:rPr>
        <w:t>-</w:t>
      </w:r>
      <w:r w:rsidR="002C3C9D">
        <w:rPr>
          <w:color w:val="000000"/>
          <w:sz w:val="28"/>
          <w:szCs w:val="28"/>
        </w:rPr>
        <w:t>запровадження дієвих заходів з енергозбереження.</w:t>
      </w:r>
    </w:p>
    <w:p w:rsidR="002C3C9D" w:rsidRPr="0012454F" w:rsidRDefault="002C3C9D" w:rsidP="0012454F">
      <w:pPr>
        <w:pStyle w:val="a9"/>
        <w:tabs>
          <w:tab w:val="left" w:pos="10036"/>
        </w:tabs>
        <w:spacing w:before="0" w:beforeAutospacing="0" w:after="0" w:afterAutospacing="0"/>
        <w:ind w:left="696" w:right="-29" w:firstLine="438"/>
        <w:rPr>
          <w:lang w:val="uk-UA"/>
        </w:rPr>
      </w:pPr>
      <w:r>
        <w:rPr>
          <w:color w:val="000000"/>
          <w:sz w:val="28"/>
          <w:szCs w:val="28"/>
        </w:rPr>
        <w:t>Прогноз бюджету Смілянської міської територіальної гром</w:t>
      </w:r>
      <w:r w:rsidR="0012454F">
        <w:rPr>
          <w:color w:val="000000"/>
          <w:sz w:val="28"/>
          <w:szCs w:val="28"/>
        </w:rPr>
        <w:t xml:space="preserve">ади на </w:t>
      </w:r>
      <w:r w:rsidR="0012454F" w:rsidRPr="0012454F">
        <w:rPr>
          <w:color w:val="000000"/>
          <w:sz w:val="28"/>
          <w:szCs w:val="28"/>
          <w:lang w:val="uk-UA"/>
        </w:rPr>
        <w:t>2022</w:t>
      </w:r>
      <w:r w:rsidR="0012454F">
        <w:rPr>
          <w:color w:val="000000"/>
          <w:sz w:val="28"/>
          <w:szCs w:val="28"/>
          <w:lang w:val="uk-UA"/>
        </w:rPr>
        <w:t>-</w:t>
      </w:r>
      <w:r w:rsidRPr="0012454F">
        <w:rPr>
          <w:color w:val="000000"/>
          <w:sz w:val="28"/>
          <w:szCs w:val="28"/>
          <w:lang w:val="uk-UA"/>
        </w:rPr>
        <w:t>2024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роки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зорієнтований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формування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сприятливого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економічного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середовища,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забезпечення збалансованості та стабільного функціонування бюджетної системи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міста,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стимулювання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інноваційно-інвестиційної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складової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економіки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міста,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встановлення взаємозв’язку між соціаль</w:t>
      </w:r>
      <w:r w:rsidR="0012454F">
        <w:rPr>
          <w:color w:val="000000"/>
          <w:sz w:val="28"/>
          <w:szCs w:val="28"/>
          <w:lang w:val="uk-UA"/>
        </w:rPr>
        <w:t>ноекономічнимицілямирозвитку</w:t>
      </w:r>
      <w:r w:rsidRPr="0012454F">
        <w:rPr>
          <w:color w:val="000000"/>
          <w:sz w:val="28"/>
          <w:szCs w:val="28"/>
          <w:lang w:val="uk-UA"/>
        </w:rPr>
        <w:t>регіону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можливостями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бюджету,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забезпечення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виконання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гарантованих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державою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соціальних зобов’язань.</w:t>
      </w:r>
    </w:p>
    <w:p w:rsidR="002C3C9D" w:rsidRPr="0012454F" w:rsidRDefault="002C3C9D" w:rsidP="0012454F">
      <w:pPr>
        <w:pStyle w:val="a9"/>
        <w:spacing w:before="2" w:beforeAutospacing="0" w:after="0" w:afterAutospacing="0"/>
        <w:ind w:left="696" w:right="-29" w:firstLine="566"/>
        <w:jc w:val="both"/>
        <w:rPr>
          <w:lang w:val="uk-UA"/>
        </w:rPr>
      </w:pPr>
      <w:r w:rsidRPr="0012454F">
        <w:rPr>
          <w:color w:val="000000"/>
          <w:sz w:val="28"/>
          <w:szCs w:val="28"/>
          <w:lang w:val="uk-UA"/>
        </w:rPr>
        <w:t>Невиконання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прогнозних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показників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бюджету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Смілянської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міської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територіальної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громади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20</w:t>
      </w:r>
      <w:r w:rsidR="0012454F" w:rsidRPr="0012454F">
        <w:rPr>
          <w:color w:val="000000"/>
          <w:sz w:val="28"/>
          <w:szCs w:val="28"/>
          <w:lang w:val="uk-UA"/>
        </w:rPr>
        <w:t>22</w:t>
      </w:r>
      <w:r w:rsidR="0012454F">
        <w:rPr>
          <w:color w:val="000000"/>
          <w:sz w:val="28"/>
          <w:szCs w:val="28"/>
          <w:lang w:val="uk-UA"/>
        </w:rPr>
        <w:t>-</w:t>
      </w:r>
      <w:r w:rsidRPr="0012454F">
        <w:rPr>
          <w:color w:val="000000"/>
          <w:sz w:val="28"/>
          <w:szCs w:val="28"/>
          <w:lang w:val="uk-UA"/>
        </w:rPr>
        <w:t>2024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роки</w:t>
      </w:r>
      <w:r w:rsidR="0012454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може</w:t>
      </w:r>
      <w:r>
        <w:rPr>
          <w:color w:val="000000"/>
          <w:sz w:val="28"/>
          <w:szCs w:val="28"/>
        </w:rPr>
        <w:t> </w:t>
      </w:r>
      <w:r w:rsidR="0012454F">
        <w:rPr>
          <w:color w:val="000000"/>
          <w:sz w:val="28"/>
          <w:szCs w:val="28"/>
          <w:lang w:val="uk-UA"/>
        </w:rPr>
        <w:t xml:space="preserve"> </w:t>
      </w:r>
      <w:r w:rsidRPr="0012454F">
        <w:rPr>
          <w:color w:val="000000"/>
          <w:sz w:val="28"/>
          <w:szCs w:val="28"/>
          <w:lang w:val="uk-UA"/>
        </w:rPr>
        <w:t>відбутись</w:t>
      </w:r>
      <w:r w:rsidR="0012454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> </w:t>
      </w:r>
      <w:r w:rsidR="0012454F">
        <w:rPr>
          <w:color w:val="000000"/>
          <w:sz w:val="28"/>
          <w:szCs w:val="28"/>
          <w:lang w:val="uk-UA"/>
        </w:rPr>
        <w:t xml:space="preserve"> </w:t>
      </w:r>
      <w:r w:rsidRPr="0012454F">
        <w:rPr>
          <w:color w:val="000000"/>
          <w:sz w:val="28"/>
          <w:szCs w:val="28"/>
          <w:lang w:val="uk-UA"/>
        </w:rPr>
        <w:t>разі</w:t>
      </w:r>
      <w:r>
        <w:rPr>
          <w:color w:val="000000"/>
          <w:sz w:val="28"/>
          <w:szCs w:val="28"/>
        </w:rPr>
        <w:t> </w:t>
      </w:r>
      <w:r w:rsidR="0012454F">
        <w:rPr>
          <w:color w:val="000000"/>
          <w:sz w:val="28"/>
          <w:szCs w:val="28"/>
          <w:lang w:val="uk-UA"/>
        </w:rPr>
        <w:t xml:space="preserve"> </w:t>
      </w:r>
      <w:r w:rsidRPr="0012454F">
        <w:rPr>
          <w:color w:val="000000"/>
          <w:sz w:val="28"/>
          <w:szCs w:val="28"/>
          <w:lang w:val="uk-UA"/>
        </w:rPr>
        <w:t>змін</w:t>
      </w:r>
      <w:r>
        <w:rPr>
          <w:color w:val="000000"/>
          <w:sz w:val="28"/>
          <w:szCs w:val="28"/>
        </w:rPr>
        <w:t> </w:t>
      </w:r>
      <w:r w:rsidR="0012454F">
        <w:rPr>
          <w:color w:val="000000"/>
          <w:sz w:val="28"/>
          <w:szCs w:val="28"/>
          <w:lang w:val="uk-UA"/>
        </w:rPr>
        <w:t xml:space="preserve"> </w:t>
      </w:r>
      <w:r w:rsidRPr="0012454F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> </w:t>
      </w:r>
      <w:r w:rsidR="0012454F">
        <w:rPr>
          <w:color w:val="000000"/>
          <w:sz w:val="28"/>
          <w:szCs w:val="28"/>
          <w:lang w:val="uk-UA"/>
        </w:rPr>
        <w:t xml:space="preserve"> </w:t>
      </w:r>
      <w:r w:rsidRPr="0012454F">
        <w:rPr>
          <w:color w:val="000000"/>
          <w:sz w:val="28"/>
          <w:szCs w:val="28"/>
          <w:lang w:val="uk-UA"/>
        </w:rPr>
        <w:t>економічному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середовищі,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які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будуть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залежати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наслідків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поширення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коронавірусної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інфекції</w:t>
      </w:r>
      <w:r>
        <w:rPr>
          <w:color w:val="000000"/>
          <w:sz w:val="28"/>
          <w:szCs w:val="28"/>
        </w:rPr>
        <w:t> COVID </w:t>
      </w:r>
      <w:r w:rsidRPr="0012454F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19</w:t>
      </w:r>
      <w:r w:rsidR="0012454F">
        <w:rPr>
          <w:color w:val="000000"/>
          <w:sz w:val="28"/>
          <w:szCs w:val="28"/>
          <w:lang w:val="uk-UA"/>
        </w:rPr>
        <w:t xml:space="preserve"> </w:t>
      </w:r>
      <w:r w:rsidRPr="0012454F">
        <w:rPr>
          <w:color w:val="000000"/>
          <w:sz w:val="28"/>
          <w:szCs w:val="28"/>
          <w:lang w:val="uk-UA"/>
        </w:rPr>
        <w:t>,</w:t>
      </w:r>
      <w:r w:rsidR="0012454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невідповідності</w:t>
      </w:r>
      <w:r>
        <w:rPr>
          <w:color w:val="000000"/>
          <w:sz w:val="28"/>
          <w:szCs w:val="28"/>
        </w:rPr>
        <w:t> </w:t>
      </w:r>
      <w:r w:rsidR="0012454F">
        <w:rPr>
          <w:color w:val="000000"/>
          <w:sz w:val="28"/>
          <w:szCs w:val="28"/>
          <w:lang w:val="uk-UA"/>
        </w:rPr>
        <w:t xml:space="preserve"> </w:t>
      </w:r>
      <w:r w:rsidRPr="0012454F">
        <w:rPr>
          <w:color w:val="000000"/>
          <w:sz w:val="28"/>
          <w:szCs w:val="28"/>
          <w:lang w:val="uk-UA"/>
        </w:rPr>
        <w:t>основних</w:t>
      </w:r>
      <w:r>
        <w:rPr>
          <w:color w:val="000000"/>
          <w:sz w:val="28"/>
          <w:szCs w:val="28"/>
        </w:rPr>
        <w:t> </w:t>
      </w:r>
      <w:r w:rsidR="0012454F">
        <w:rPr>
          <w:color w:val="000000"/>
          <w:sz w:val="28"/>
          <w:szCs w:val="28"/>
          <w:lang w:val="uk-UA"/>
        </w:rPr>
        <w:t xml:space="preserve"> </w:t>
      </w:r>
      <w:r w:rsidRPr="0012454F">
        <w:rPr>
          <w:color w:val="000000"/>
          <w:sz w:val="28"/>
          <w:szCs w:val="28"/>
          <w:lang w:val="uk-UA"/>
        </w:rPr>
        <w:t>прогнозних</w:t>
      </w:r>
      <w:r w:rsidR="0012454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показників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економічного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соціального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розвитку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м.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Сміли показникам,</w:t>
      </w:r>
      <w:r w:rsidR="0012454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врахованим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під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час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формування</w:t>
      </w:r>
      <w:r>
        <w:rPr>
          <w:color w:val="000000"/>
          <w:sz w:val="28"/>
          <w:szCs w:val="28"/>
        </w:rPr>
        <w:t> </w:t>
      </w:r>
      <w:r w:rsidRPr="0012454F">
        <w:rPr>
          <w:color w:val="000000"/>
          <w:sz w:val="28"/>
          <w:szCs w:val="28"/>
          <w:lang w:val="uk-UA"/>
        </w:rPr>
        <w:t>прогнозу.</w:t>
      </w:r>
    </w:p>
    <w:p w:rsidR="002C3C9D" w:rsidRPr="0012454F" w:rsidRDefault="002C3C9D" w:rsidP="002C3C9D">
      <w:pPr>
        <w:pStyle w:val="a9"/>
        <w:spacing w:before="2" w:beforeAutospacing="0" w:after="0" w:afterAutospacing="0"/>
        <w:ind w:left="696" w:right="258" w:firstLine="566"/>
        <w:jc w:val="both"/>
        <w:rPr>
          <w:lang w:val="uk-UA"/>
        </w:rPr>
      </w:pPr>
      <w:r>
        <w:t> </w:t>
      </w:r>
    </w:p>
    <w:p w:rsidR="002C3C9D" w:rsidRDefault="002C3C9D" w:rsidP="002C3C9D">
      <w:pPr>
        <w:pStyle w:val="2"/>
        <w:ind w:left="1465" w:right="258"/>
      </w:pPr>
      <w:r>
        <w:rPr>
          <w:color w:val="000000"/>
        </w:rPr>
        <w:t>ІІ. Основні </w:t>
      </w:r>
      <w:r w:rsidR="0012454F">
        <w:rPr>
          <w:color w:val="000000"/>
        </w:rPr>
        <w:t xml:space="preserve"> </w:t>
      </w:r>
      <w:r>
        <w:rPr>
          <w:color w:val="000000"/>
        </w:rPr>
        <w:t>прогнозні</w:t>
      </w:r>
      <w:r w:rsidR="0012454F">
        <w:rPr>
          <w:color w:val="000000"/>
        </w:rPr>
        <w:t xml:space="preserve"> </w:t>
      </w:r>
      <w:r>
        <w:rPr>
          <w:color w:val="000000"/>
        </w:rPr>
        <w:t> показники </w:t>
      </w:r>
      <w:r w:rsidR="0012454F">
        <w:rPr>
          <w:color w:val="000000"/>
        </w:rPr>
        <w:t xml:space="preserve"> </w:t>
      </w:r>
      <w:r>
        <w:rPr>
          <w:color w:val="000000"/>
        </w:rPr>
        <w:t>економічного</w:t>
      </w:r>
      <w:r w:rsidR="0012454F">
        <w:rPr>
          <w:color w:val="000000"/>
        </w:rPr>
        <w:t xml:space="preserve"> </w:t>
      </w:r>
      <w:r>
        <w:rPr>
          <w:color w:val="000000"/>
        </w:rPr>
        <w:t> та </w:t>
      </w:r>
      <w:r w:rsidR="0012454F">
        <w:rPr>
          <w:color w:val="000000"/>
        </w:rPr>
        <w:t xml:space="preserve"> </w:t>
      </w:r>
      <w:r>
        <w:rPr>
          <w:color w:val="000000"/>
        </w:rPr>
        <w:t>соціального</w:t>
      </w:r>
      <w:r w:rsidR="0012454F">
        <w:rPr>
          <w:color w:val="000000"/>
        </w:rPr>
        <w:t xml:space="preserve"> </w:t>
      </w:r>
      <w:r>
        <w:rPr>
          <w:color w:val="000000"/>
        </w:rPr>
        <w:t> розвитку</w:t>
      </w:r>
    </w:p>
    <w:p w:rsidR="002C3C9D" w:rsidRDefault="002C3C9D" w:rsidP="002C3C9D">
      <w:pPr>
        <w:pStyle w:val="a9"/>
        <w:spacing w:before="0" w:beforeAutospacing="0" w:after="0" w:afterAutospacing="0"/>
        <w:ind w:right="258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Місто Сміла - місто обласного значення з переважним розвитком промисловості та транспорту. Середня чисельність наявного населення </w:t>
      </w:r>
    </w:p>
    <w:p w:rsidR="004423FB" w:rsidRPr="004423FB" w:rsidRDefault="004423FB" w:rsidP="002C3C9D">
      <w:pPr>
        <w:pStyle w:val="a9"/>
        <w:spacing w:before="0" w:beforeAutospacing="0" w:after="0" w:afterAutospacing="0"/>
        <w:ind w:left="709" w:right="258" w:firstLine="567"/>
        <w:jc w:val="both"/>
        <w:rPr>
          <w:lang w:val="uk-UA"/>
        </w:rPr>
      </w:pPr>
    </w:p>
    <w:p w:rsid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</w:pPr>
      <w:r>
        <w:rPr>
          <w:color w:val="000000"/>
        </w:rPr>
        <w:lastRenderedPageBreak/>
        <w:t>Продовження додатку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right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rPr>
          <w:color w:val="000000"/>
          <w:sz w:val="28"/>
          <w:szCs w:val="28"/>
        </w:rPr>
        <w:t>станом на 01.01.2021 року становила 66,5 тис. осіб.</w:t>
      </w:r>
    </w:p>
    <w:p w:rsid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Соціально-економічний стан та рівень бюджетного забезпечення міста залежить від роботи Регіональної філії «Одеська залізниця» АТ «Українська залізниця», Філії «Пасажирська компанія» АТ «Українська залізниця», АТ «Укрзалізниця» та промислових  підприємств.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center"/>
      </w:pPr>
      <w:r>
        <w:rPr>
          <w:b/>
          <w:bCs/>
          <w:color w:val="000000"/>
          <w:sz w:val="28"/>
          <w:szCs w:val="28"/>
        </w:rPr>
        <w:t>1.Транспортна галузь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ab/>
        <w:t>Всі райони міста забезпечено транспортним сполученням, функціонує15 автобусних маршрутів.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 xml:space="preserve">Залізничним транспортом за 11 місяців 2020 року відправлено 4661,8 тис. т вантажів, що порівняно із відповідним періодом 2019 року менше на 12,2% та виконано вантажообіг в обсязі 6826,5 млн.ткм (на 18% менше відповідного періоду минулого року). Залізничним транспортом відправлено 1184,6 тис. пасажирів, що на 49,2%  менше обсягів відповідного періоду 2019 року.  Пасажирооборот склав 709,7 млн. пас. км, що на 61,1% менше 2019 року. </w:t>
      </w:r>
    </w:p>
    <w:p w:rsidR="002C3C9D" w:rsidRDefault="002C3C9D" w:rsidP="002C3C9D">
      <w:pPr>
        <w:pStyle w:val="a9"/>
        <w:keepNext/>
        <w:spacing w:before="0" w:beforeAutospacing="0" w:after="0" w:afterAutospacing="0"/>
        <w:ind w:left="1276" w:right="258"/>
        <w:jc w:val="center"/>
      </w:pPr>
      <w:r>
        <w:rPr>
          <w:b/>
          <w:bCs/>
          <w:color w:val="000000"/>
          <w:sz w:val="28"/>
          <w:szCs w:val="28"/>
        </w:rPr>
        <w:t>2.Будівельна діяльність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У січні–жовтні 2020 року по місту  вироблено будівельної продукції на 10378 тис. гривень, що становлять 0,65% до загальнообласного обсягу будівельної продукції.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У січні–вересні 2020р. по місту введено в експлуатацію 1874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загальної площі житла, що становить 92,3 % відповідного показника 2019 року.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979" w:right="258"/>
        <w:jc w:val="center"/>
      </w:pPr>
      <w:r>
        <w:rPr>
          <w:b/>
          <w:bCs/>
          <w:color w:val="000000"/>
          <w:sz w:val="28"/>
          <w:szCs w:val="28"/>
        </w:rPr>
        <w:t>3.Реалізовані послуги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Обсяг обороту роздрібної торгівлі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 6 місяців 2020 року зріс у порівнянні до відповідного періоду минулого року на 13% і становив 378863 тис. гривень.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 xml:space="preserve">За січень–червень 2020 року підприємствами міста реалізовано послуг  споживачам на 341617,6 тис. гривень, що на 17,7% менше відповідного періоду 2019 року. 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Населенню реалізовано послуг на 48146,6 тис. гривень, що на 39,9% менше півріччя 2019 року.</w:t>
      </w:r>
    </w:p>
    <w:p w:rsidR="002C3C9D" w:rsidRDefault="002C3C9D" w:rsidP="002C3C9D">
      <w:pPr>
        <w:pStyle w:val="a9"/>
        <w:tabs>
          <w:tab w:val="left" w:pos="664"/>
          <w:tab w:val="left" w:pos="4677"/>
        </w:tabs>
        <w:spacing w:before="0" w:beforeAutospacing="0" w:after="0" w:afterAutospacing="0"/>
        <w:ind w:left="709" w:right="258" w:firstLine="567"/>
        <w:jc w:val="center"/>
      </w:pPr>
      <w:r>
        <w:rPr>
          <w:b/>
          <w:bCs/>
          <w:color w:val="000000"/>
          <w:sz w:val="28"/>
          <w:szCs w:val="28"/>
        </w:rPr>
        <w:t>4. Експорт та імпорт товарів</w:t>
      </w:r>
    </w:p>
    <w:p w:rsidR="002C3C9D" w:rsidRDefault="002C3C9D" w:rsidP="002C3C9D">
      <w:pPr>
        <w:pStyle w:val="a9"/>
        <w:tabs>
          <w:tab w:val="left" w:pos="540"/>
        </w:tabs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 xml:space="preserve">          Станом на 01.10.2020 року </w:t>
      </w:r>
      <w:r>
        <w:rPr>
          <w:b/>
          <w:bCs/>
          <w:color w:val="000000"/>
          <w:sz w:val="28"/>
          <w:szCs w:val="28"/>
        </w:rPr>
        <w:t>обсяг експорту товарів</w:t>
      </w:r>
      <w:r>
        <w:rPr>
          <w:color w:val="000000"/>
          <w:sz w:val="28"/>
          <w:szCs w:val="28"/>
        </w:rPr>
        <w:t xml:space="preserve"> становив                 3921,0 тис. дол. США,  </w:t>
      </w:r>
      <w:r>
        <w:rPr>
          <w:b/>
          <w:bCs/>
          <w:color w:val="000000"/>
          <w:sz w:val="28"/>
          <w:szCs w:val="28"/>
        </w:rPr>
        <w:t xml:space="preserve">імпорт </w:t>
      </w:r>
      <w:r>
        <w:rPr>
          <w:color w:val="000000"/>
          <w:sz w:val="28"/>
          <w:szCs w:val="28"/>
        </w:rPr>
        <w:t>– 2181,7 тис. дол. США.</w:t>
      </w:r>
    </w:p>
    <w:p w:rsidR="002C3C9D" w:rsidRDefault="002C3C9D" w:rsidP="002C3C9D">
      <w:pPr>
        <w:pStyle w:val="a9"/>
        <w:spacing w:before="0" w:beforeAutospacing="0" w:after="120" w:afterAutospacing="0"/>
        <w:ind w:left="709" w:right="258" w:firstLine="567"/>
      </w:pPr>
      <w:r>
        <w:rPr>
          <w:color w:val="000000"/>
          <w:sz w:val="28"/>
          <w:szCs w:val="28"/>
        </w:rPr>
        <w:t>У порівнянні з відповідним періодом 2019 року відбулося збільшення обсягів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експорту на 3,7 % та зменшення імпорту на 44,7%.</w:t>
      </w:r>
    </w:p>
    <w:p w:rsidR="002C3C9D" w:rsidRDefault="002C3C9D" w:rsidP="002C3C9D">
      <w:pPr>
        <w:pStyle w:val="a9"/>
        <w:spacing w:before="0" w:beforeAutospacing="0" w:after="120" w:afterAutospacing="0"/>
        <w:ind w:left="709" w:right="258" w:firstLine="567"/>
      </w:pPr>
      <w:r>
        <w:rPr>
          <w:color w:val="000000"/>
          <w:sz w:val="28"/>
          <w:szCs w:val="28"/>
        </w:rPr>
        <w:t>Позитивне сальдо зовнішньої торгівлі товарами становило 1739,3 тис. дол. США, коефіцієнт покриття експортом імпорту – 1,8.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center"/>
      </w:pPr>
      <w:r>
        <w:rPr>
          <w:b/>
          <w:bCs/>
          <w:color w:val="000000"/>
          <w:sz w:val="28"/>
          <w:szCs w:val="28"/>
        </w:rPr>
        <w:t>5.Зайнятість населення</w:t>
      </w:r>
    </w:p>
    <w:p w:rsidR="002C3C9D" w:rsidRDefault="002C3C9D" w:rsidP="002C3C9D">
      <w:pPr>
        <w:pStyle w:val="a9"/>
        <w:tabs>
          <w:tab w:val="left" w:pos="0"/>
          <w:tab w:val="left" w:pos="567"/>
        </w:tabs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6"/>
          <w:szCs w:val="26"/>
        </w:rPr>
        <w:tab/>
        <w:t xml:space="preserve">Станом 01.01.2020 на обліку в </w:t>
      </w:r>
      <w:r>
        <w:rPr>
          <w:color w:val="000000"/>
          <w:sz w:val="28"/>
          <w:szCs w:val="28"/>
        </w:rPr>
        <w:t xml:space="preserve">Смілянському міськрайонному центрі </w:t>
      </w:r>
      <w:r>
        <w:rPr>
          <w:color w:val="000000"/>
          <w:sz w:val="26"/>
          <w:szCs w:val="26"/>
        </w:rPr>
        <w:t>зайнятості населення перебувало 426 мешканців, протягом року</w:t>
      </w:r>
      <w:r>
        <w:rPr>
          <w:color w:val="000000"/>
          <w:sz w:val="28"/>
          <w:szCs w:val="28"/>
        </w:rPr>
        <w:t xml:space="preserve"> до нього звернулись 2 617 громадян. Всього з початку року послугами служби зайнятості скористались 3 064 мешканців міста.</w:t>
      </w:r>
    </w:p>
    <w:p w:rsidR="002C3C9D" w:rsidRDefault="002C3C9D" w:rsidP="002C3C9D">
      <w:pPr>
        <w:pStyle w:val="a9"/>
        <w:tabs>
          <w:tab w:val="left" w:pos="0"/>
        </w:tabs>
        <w:spacing w:before="0" w:beforeAutospacing="0" w:after="0" w:afterAutospacing="0" w:line="228" w:lineRule="auto"/>
        <w:ind w:left="709" w:right="258"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  <w:t xml:space="preserve">З початку року працевлаштовані 1 165 осіб, з них 640 безробітних. </w:t>
      </w:r>
    </w:p>
    <w:p w:rsidR="004423FB" w:rsidRPr="004423FB" w:rsidRDefault="004423FB" w:rsidP="002C3C9D">
      <w:pPr>
        <w:pStyle w:val="a9"/>
        <w:tabs>
          <w:tab w:val="left" w:pos="0"/>
        </w:tabs>
        <w:spacing w:before="0" w:beforeAutospacing="0" w:after="0" w:afterAutospacing="0" w:line="228" w:lineRule="auto"/>
        <w:ind w:left="709" w:right="258" w:firstLine="567"/>
        <w:rPr>
          <w:lang w:val="uk-UA"/>
        </w:rPr>
      </w:pPr>
    </w:p>
    <w:p w:rsid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</w:pPr>
      <w:r>
        <w:rPr>
          <w:color w:val="000000"/>
        </w:rPr>
        <w:lastRenderedPageBreak/>
        <w:t>Продовження додатку</w:t>
      </w:r>
    </w:p>
    <w:p w:rsidR="002C3C9D" w:rsidRDefault="002C3C9D" w:rsidP="002C3C9D">
      <w:pPr>
        <w:pStyle w:val="a9"/>
        <w:tabs>
          <w:tab w:val="left" w:pos="0"/>
        </w:tabs>
        <w:spacing w:before="0" w:beforeAutospacing="0" w:after="0" w:afterAutospacing="0" w:line="228" w:lineRule="auto"/>
        <w:ind w:left="709" w:right="258" w:firstLine="567"/>
      </w:pPr>
      <w:r>
        <w:t> </w:t>
      </w:r>
    </w:p>
    <w:p w:rsidR="002C3C9D" w:rsidRDefault="002C3C9D" w:rsidP="002C3C9D">
      <w:pPr>
        <w:pStyle w:val="a9"/>
        <w:tabs>
          <w:tab w:val="left" w:pos="0"/>
        </w:tabs>
        <w:spacing w:before="0" w:beforeAutospacing="0" w:after="0" w:afterAutospacing="0" w:line="228" w:lineRule="auto"/>
        <w:ind w:left="709" w:right="113"/>
        <w:jc w:val="both"/>
      </w:pPr>
      <w:r>
        <w:rPr>
          <w:color w:val="000000"/>
          <w:sz w:val="28"/>
          <w:szCs w:val="28"/>
        </w:rPr>
        <w:t xml:space="preserve">Один безробітний отримав одноразову виплату для організації підприємницької діяльності.  </w:t>
      </w:r>
    </w:p>
    <w:p w:rsidR="002C3C9D" w:rsidRDefault="002C3C9D" w:rsidP="002C3C9D">
      <w:pPr>
        <w:pStyle w:val="a9"/>
        <w:tabs>
          <w:tab w:val="left" w:pos="0"/>
        </w:tabs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ab/>
        <w:t xml:space="preserve">Протягом звітного періоду брали участь у громадських та інших </w:t>
      </w:r>
    </w:p>
    <w:p w:rsid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</w:pPr>
      <w:r>
        <w:rPr>
          <w:color w:val="000000"/>
        </w:rPr>
        <w:t>Продовження додатку</w:t>
      </w:r>
    </w:p>
    <w:p w:rsidR="002C3C9D" w:rsidRDefault="002C3C9D" w:rsidP="002C3C9D">
      <w:pPr>
        <w:pStyle w:val="a9"/>
        <w:tabs>
          <w:tab w:val="left" w:pos="0"/>
        </w:tabs>
        <w:spacing w:before="0" w:beforeAutospacing="0" w:after="0" w:afterAutospacing="0"/>
        <w:ind w:left="709" w:right="258"/>
        <w:jc w:val="both"/>
      </w:pPr>
      <w:r>
        <w:rPr>
          <w:color w:val="000000"/>
          <w:sz w:val="28"/>
          <w:szCs w:val="28"/>
        </w:rPr>
        <w:t>роботах тимчасового характеру 63 безробітних, проходили професійне навчання 57 безробітних, отримали профорієнтаційні послуги 2 936 осіб.</w:t>
      </w:r>
    </w:p>
    <w:p w:rsidR="002C3C9D" w:rsidRDefault="002C3C9D" w:rsidP="002C3C9D">
      <w:pPr>
        <w:pStyle w:val="a9"/>
        <w:tabs>
          <w:tab w:val="left" w:pos="0"/>
        </w:tabs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ab/>
        <w:t>На обліку в центрі зайнятості перебувало 367 осіб, які мають додаткові гарантії щодо сприяння в працевлаштуванні,із загальної кількості безробітних, в т.ч. 63 осіб з інвалідністю. З них працевлаштовані за допомогою центру зайнятості 95 осіб, в т.ч. 21 особа з інвалідністю.</w:t>
      </w:r>
    </w:p>
    <w:p w:rsidR="002C3C9D" w:rsidRDefault="002C3C9D" w:rsidP="002C3C9D">
      <w:pPr>
        <w:pStyle w:val="a9"/>
        <w:tabs>
          <w:tab w:val="left" w:pos="0"/>
        </w:tabs>
        <w:spacing w:before="0" w:beforeAutospacing="0" w:after="0" w:afterAutospacing="0" w:line="228" w:lineRule="auto"/>
        <w:ind w:left="709" w:right="258" w:firstLine="567"/>
        <w:jc w:val="both"/>
      </w:pPr>
      <w:r>
        <w:rPr>
          <w:color w:val="000000"/>
          <w:sz w:val="28"/>
          <w:szCs w:val="28"/>
        </w:rPr>
        <w:tab/>
        <w:t xml:space="preserve">Станом на 01.01.2021 в центрі зайнятості 35 актуальних вакансій. В середньому на одну вакансію претендує 36 безробітних. </w:t>
      </w:r>
    </w:p>
    <w:p w:rsidR="002C3C9D" w:rsidRDefault="002C3C9D" w:rsidP="002C3C9D">
      <w:pPr>
        <w:pStyle w:val="a9"/>
        <w:tabs>
          <w:tab w:val="left" w:pos="0"/>
        </w:tabs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6"/>
          <w:szCs w:val="26"/>
        </w:rPr>
        <w:tab/>
      </w:r>
      <w:r>
        <w:rPr>
          <w:color w:val="000000"/>
          <w:sz w:val="28"/>
          <w:szCs w:val="28"/>
        </w:rPr>
        <w:t xml:space="preserve">Всього, станом на 01.01.2021 на обліку в центрі зайнятості перебувало 887 безробітних, з них допомогу по безробіттю отримує 768 осіб. 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right="258"/>
        <w:jc w:val="center"/>
      </w:pPr>
      <w:r>
        <w:rPr>
          <w:b/>
          <w:bCs/>
          <w:color w:val="000000"/>
          <w:sz w:val="28"/>
          <w:szCs w:val="28"/>
        </w:rPr>
        <w:t>6.Заборгованість з виплати заробітної плати</w:t>
      </w:r>
    </w:p>
    <w:p w:rsidR="002C3C9D" w:rsidRDefault="002C3C9D" w:rsidP="002C3C9D">
      <w:pPr>
        <w:pStyle w:val="a9"/>
        <w:widowControl w:val="0"/>
        <w:tabs>
          <w:tab w:val="left" w:pos="540"/>
        </w:tabs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6"/>
          <w:szCs w:val="26"/>
        </w:rPr>
        <w:tab/>
        <w:t xml:space="preserve">  </w:t>
      </w:r>
      <w:r>
        <w:rPr>
          <w:color w:val="000000"/>
          <w:sz w:val="28"/>
          <w:szCs w:val="28"/>
        </w:rPr>
        <w:t>Загальна сума заборгованості із виплати заробітної плати по м. Сміла станом  на 01.01.2021  становила 2 752,2 тис.грн., в т.ч.: на економічно-активних     підприємствах - 823,4 тис.грн. (ПАТ «Тюмень-медико-Сміла» - 202,0 тис.грн., ТОВ НВС «Телематичні системи» - 621,4 тис.грн.), по підприємствах-банкрутах - 141,1 тис.грн. (КЖВП «Наш Дім»  -  75,2  тис.грн.,   ДНУ   СКБ   «Цукор»  - 65,9 тис.грн.), на підприємствах, що призупинили свою діяльність - 1787,7 тис.грн. (ТОВ «Сміла Енергоінвест» -   615,7   тис.грн.,     ДЗ  «Медико – санітарна  частина  № 14» - 1172,0 тис.грн.)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t> 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1276" w:right="258"/>
        <w:jc w:val="center"/>
      </w:pPr>
      <w:r>
        <w:rPr>
          <w:b/>
          <w:bCs/>
          <w:color w:val="000000"/>
          <w:sz w:val="28"/>
          <w:szCs w:val="28"/>
        </w:rPr>
        <w:t>7.Середньомісячна заробітна плата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Середньомісячна заробітна плата штатних працівників зросла на 0,4% у порівнянні з минулим роком і становила 8665 гривень. Зростання забезпечено за рахунок збільшення рівня з/плати.</w:t>
      </w:r>
    </w:p>
    <w:p w:rsidR="002C3C9D" w:rsidRDefault="002C3C9D" w:rsidP="002C3C9D">
      <w:pPr>
        <w:pStyle w:val="a9"/>
        <w:spacing w:before="0" w:beforeAutospacing="0" w:after="12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Середньооблікова кількість штатних працівників підприємств, установ та організацій у 4 кварталі 2020 року становила 9,8 тис. осіб, що на 3% менше попереднього кварталу.</w:t>
      </w:r>
    </w:p>
    <w:p w:rsidR="002C3C9D" w:rsidRDefault="002C3C9D" w:rsidP="002C3C9D">
      <w:pPr>
        <w:pStyle w:val="a9"/>
        <w:tabs>
          <w:tab w:val="left" w:pos="142"/>
        </w:tabs>
        <w:spacing w:before="0" w:beforeAutospacing="0" w:after="0" w:afterAutospacing="0"/>
        <w:ind w:left="709" w:right="258" w:firstLine="567"/>
        <w:jc w:val="center"/>
      </w:pPr>
      <w:r>
        <w:rPr>
          <w:b/>
          <w:bCs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Демографічна ситуація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 xml:space="preserve">Чисельність наявного населення на території міста Сміла станом на 1 січня 2021 року становила 66481 осіб. Упродовж січня–грудня 2020 року чисельність населення зменшилась на 495 осіб. </w:t>
      </w:r>
    </w:p>
    <w:p w:rsidR="002C3C9D" w:rsidRDefault="002C3C9D" w:rsidP="002C3C9D">
      <w:pPr>
        <w:pStyle w:val="a9"/>
        <w:spacing w:before="0" w:beforeAutospacing="0" w:after="0" w:afterAutospacing="0"/>
        <w:ind w:left="709" w:firstLine="567"/>
        <w:jc w:val="both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jc w:val="center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Основні показники соціально-економічного розвитку м. Сміла</w:t>
      </w:r>
    </w:p>
    <w:p w:rsidR="004423FB" w:rsidRPr="004423FB" w:rsidRDefault="002C3C9D" w:rsidP="004423FB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за 2020-2021 роки та прогнозні показники на 2022-2024 роки:</w:t>
      </w:r>
    </w:p>
    <w:tbl>
      <w:tblPr>
        <w:tblpPr w:leftFromText="-5044" w:rightFromText="45" w:vertAnchor="text" w:tblpXSpec="right" w:tblpYSpec="center"/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"/>
        <w:gridCol w:w="4712"/>
        <w:gridCol w:w="1016"/>
        <w:gridCol w:w="950"/>
        <w:gridCol w:w="975"/>
        <w:gridCol w:w="974"/>
        <w:gridCol w:w="1100"/>
      </w:tblGrid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Показник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2020 рік </w:t>
            </w:r>
          </w:p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звіт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2021 рік очікуване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2022 рік прогноз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2023 рік</w:t>
            </w:r>
          </w:p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2024 рік</w:t>
            </w:r>
          </w:p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</w:pPr>
            <w:r>
              <w:rPr>
                <w:color w:val="000000"/>
                <w:sz w:val="22"/>
                <w:szCs w:val="22"/>
              </w:rPr>
              <w:t>Чисельність наявного населення, тис.осіб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66,5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66,5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66,4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</w:pPr>
            <w:r>
              <w:rPr>
                <w:color w:val="000000"/>
                <w:sz w:val="22"/>
                <w:szCs w:val="22"/>
              </w:rPr>
              <w:t>Обсяг реалізованої промислової продукції (робіт, послуг) у фактичних цінах, тис.грн.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1587,756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3700,00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Кількість інноваційно-активних підприємств, що займаються інноваційною діяльністю, одиниць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Частка інноваційно-активних підприємств у % до загальної кількості промислових підприємств регіону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</w:pPr>
            <w:r>
              <w:rPr>
                <w:color w:val="000000"/>
                <w:sz w:val="22"/>
                <w:szCs w:val="22"/>
              </w:rPr>
              <w:t>Обсяг капітальних інвестицій за рахунок усіх джерел фінансування, млн.грн.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Темп зростання (зменшення) капітальних інвестицій, у % до попереднього року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Обсяг капітальних інвестицій на одну особу (у фактичних цінах), грн.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Обсяг інвестицій у житлове будівництво, тис. грн.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Темп  зростання (зменшення) інвестицій у житлове будівництво, 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2C3C9D" w:rsidTr="002C3C9D">
        <w:trPr>
          <w:trHeight w:val="372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</w:pPr>
            <w:r>
              <w:rPr>
                <w:color w:val="000000"/>
                <w:sz w:val="22"/>
                <w:szCs w:val="22"/>
              </w:rPr>
              <w:t>Обсяг введеного в експлуатацію житла, кв. 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2311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2311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2371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2435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2491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</w:pPr>
            <w:r>
              <w:rPr>
                <w:color w:val="000000"/>
                <w:sz w:val="22"/>
                <w:szCs w:val="22"/>
              </w:rPr>
              <w:t>Темп зростання (зменшення)  введеного в експлуатацію житла,%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102,3</w:t>
            </w:r>
          </w:p>
        </w:tc>
      </w:tr>
      <w:tr w:rsidR="002C3C9D" w:rsidTr="002C3C9D">
        <w:trPr>
          <w:trHeight w:val="331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Обсяг прямих іноземних інвестицій, тис. дол. США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Темп зростання (зменшення) обсягу прямих іноземних інвестицій, 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Обсяг прямих іноземних інвестицій (у фактичних цінах у розрахунку на одиницю населення), дол. США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</w:tr>
      <w:tr w:rsidR="002C3C9D" w:rsidTr="002C3C9D">
        <w:trPr>
          <w:trHeight w:val="90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 w:line="90" w:lineRule="atLeast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 w:line="90" w:lineRule="atLeast"/>
              <w:ind w:left="-51" w:right="-108" w:firstLine="51"/>
            </w:pPr>
            <w:r>
              <w:rPr>
                <w:color w:val="000000"/>
                <w:sz w:val="22"/>
                <w:szCs w:val="22"/>
              </w:rPr>
              <w:t>Обсяг експорту, тис. дол. США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 w:line="90" w:lineRule="atLeast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 w:line="90" w:lineRule="atLeast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 w:line="90" w:lineRule="atLeast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 w:line="90" w:lineRule="atLeast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 w:line="90" w:lineRule="atLeast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</w:tr>
      <w:tr w:rsidR="002C3C9D" w:rsidTr="002C3C9D">
        <w:trPr>
          <w:trHeight w:val="316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</w:pPr>
            <w:r>
              <w:rPr>
                <w:color w:val="000000"/>
                <w:sz w:val="22"/>
                <w:szCs w:val="22"/>
              </w:rPr>
              <w:t>Темп зростання (зменшення)  експорту, 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101,8</w:t>
            </w:r>
          </w:p>
        </w:tc>
      </w:tr>
      <w:tr w:rsidR="002C3C9D" w:rsidTr="002C3C9D">
        <w:trPr>
          <w:trHeight w:val="107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 w:line="107" w:lineRule="atLeast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 w:line="107" w:lineRule="atLeast"/>
              <w:ind w:left="-51" w:right="-108" w:firstLine="51"/>
            </w:pPr>
            <w:r>
              <w:rPr>
                <w:color w:val="000000"/>
                <w:sz w:val="22"/>
                <w:szCs w:val="22"/>
              </w:rPr>
              <w:t>Обсяг імпорту, тис. дол. США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 w:line="107" w:lineRule="atLeast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 w:line="107" w:lineRule="atLeast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 w:line="107" w:lineRule="atLeast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 w:line="107" w:lineRule="atLeast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 w:line="107" w:lineRule="atLeast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2700</w:t>
            </w:r>
          </w:p>
        </w:tc>
      </w:tr>
      <w:tr w:rsidR="002C3C9D" w:rsidTr="002C3C9D">
        <w:trPr>
          <w:trHeight w:val="341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</w:pPr>
            <w:r>
              <w:rPr>
                <w:color w:val="000000"/>
                <w:sz w:val="22"/>
                <w:szCs w:val="22"/>
              </w:rPr>
              <w:t>Темп зростання (зменшення)  імпорту, 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57,2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</w:pPr>
            <w:r>
              <w:rPr>
                <w:color w:val="000000"/>
                <w:sz w:val="22"/>
                <w:szCs w:val="22"/>
              </w:rPr>
              <w:t>Середньооблікова чисельність штатних працівників, зайнятих у галузях економіки, осіб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9775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9700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9800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Фонд оплати праці працівників, зайнятих у галузях економіки (без малих підприємств та військовослужбовців), тис.грн.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Pr="004423FB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  <w:rPr>
                <w:sz w:val="20"/>
                <w:szCs w:val="20"/>
              </w:rPr>
            </w:pPr>
            <w:r w:rsidRPr="004423FB">
              <w:rPr>
                <w:color w:val="000000"/>
                <w:sz w:val="20"/>
                <w:szCs w:val="20"/>
              </w:rPr>
              <w:t>*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</w:pPr>
            <w:r>
              <w:rPr>
                <w:color w:val="000000"/>
                <w:sz w:val="22"/>
                <w:szCs w:val="22"/>
              </w:rPr>
              <w:t>Середньомісячна заробітна плата працівників, зайнятих у галузях економіки, грн.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8665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8809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9337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9897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10490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</w:pPr>
            <w:r>
              <w:rPr>
                <w:color w:val="000000"/>
                <w:sz w:val="22"/>
                <w:szCs w:val="22"/>
              </w:rPr>
              <w:t>Темп зростання (зменшення) середньомісячної заробітної плати, 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 w:line="254" w:lineRule="auto"/>
              <w:jc w:val="center"/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 w:line="254" w:lineRule="auto"/>
              <w:jc w:val="center"/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 w:line="254" w:lineRule="auto"/>
              <w:jc w:val="center"/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</w:pPr>
            <w:r>
              <w:rPr>
                <w:color w:val="000000"/>
                <w:sz w:val="22"/>
                <w:szCs w:val="22"/>
              </w:rPr>
              <w:t>Кількість зареєстрованих безробітних (на кінець звітного періоду), осіб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</w:pPr>
            <w:r>
              <w:rPr>
                <w:color w:val="000000"/>
                <w:sz w:val="22"/>
                <w:szCs w:val="22"/>
              </w:rPr>
              <w:t>Обсяг роздрібного товарообороту, включаючи ресторанне господарство, млн. грн.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</w:pPr>
            <w:r>
              <w:rPr>
                <w:color w:val="000000"/>
                <w:sz w:val="22"/>
                <w:szCs w:val="22"/>
              </w:rPr>
              <w:t>Темп зростання (зменшення)  обсягу роздрібного товарообороту, включаючи ресторанне господарство, 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105,6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</w:pPr>
            <w:r>
              <w:rPr>
                <w:color w:val="000000"/>
                <w:sz w:val="22"/>
                <w:szCs w:val="22"/>
              </w:rPr>
              <w:t>Обсяг реалізованих споживачам послуг підприємствами сфери послуг, тис. грн.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720000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730000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740000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750000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770000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</w:pPr>
            <w:r>
              <w:rPr>
                <w:color w:val="000000"/>
                <w:sz w:val="22"/>
                <w:szCs w:val="22"/>
              </w:rPr>
              <w:t>Темп зростання (зменшення) обсягу реалізованих споживачам послуг, 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</w:pPr>
            <w:r>
              <w:rPr>
                <w:color w:val="000000"/>
                <w:sz w:val="22"/>
                <w:szCs w:val="22"/>
              </w:rPr>
              <w:t>Обсяг послуг, реалізованих населенню, тис. грн.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109000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150000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</w:pPr>
            <w:r>
              <w:rPr>
                <w:color w:val="000000"/>
                <w:sz w:val="22"/>
                <w:szCs w:val="22"/>
              </w:rPr>
              <w:t>Темп зростання (зменшення) обсягу послуг, реалізованих населенню, 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107,1</w:t>
            </w:r>
          </w:p>
        </w:tc>
      </w:tr>
      <w:tr w:rsidR="002C3C9D" w:rsidTr="002C3C9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right="-108" w:firstLine="51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</w:pPr>
            <w:r>
              <w:rPr>
                <w:color w:val="000000"/>
                <w:sz w:val="22"/>
                <w:szCs w:val="22"/>
              </w:rPr>
              <w:t>Обсяг послуг, реалізованих населенню, у розрахунку на одного жителя, грн.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1640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1805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2108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9D" w:rsidRDefault="002C3C9D">
            <w:pPr>
              <w:pStyle w:val="a9"/>
              <w:shd w:val="clear" w:color="auto" w:fill="FFFFFF"/>
              <w:spacing w:before="0" w:beforeAutospacing="0" w:after="0" w:afterAutospacing="0"/>
              <w:ind w:left="-51" w:firstLine="51"/>
              <w:jc w:val="center"/>
            </w:pPr>
            <w:r>
              <w:rPr>
                <w:color w:val="000000"/>
                <w:sz w:val="20"/>
                <w:szCs w:val="20"/>
              </w:rPr>
              <w:t>2250</w:t>
            </w:r>
          </w:p>
        </w:tc>
      </w:tr>
    </w:tbl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284"/>
      </w:pPr>
      <w:r>
        <w:rPr>
          <w:color w:val="000000"/>
          <w:sz w:val="22"/>
          <w:szCs w:val="22"/>
        </w:rPr>
        <w:t>* інформація відсутня</w:t>
      </w:r>
    </w:p>
    <w:p w:rsidR="002C3C9D" w:rsidRPr="004423FB" w:rsidRDefault="002C3C9D" w:rsidP="004423FB">
      <w:pPr>
        <w:pStyle w:val="a9"/>
        <w:spacing w:before="0" w:beforeAutospacing="0" w:after="0" w:afterAutospacing="0"/>
        <w:ind w:left="2131" w:right="1711"/>
        <w:jc w:val="center"/>
        <w:rPr>
          <w:lang w:val="uk-UA"/>
        </w:rPr>
      </w:pPr>
      <w:r>
        <w:t> </w:t>
      </w:r>
    </w:p>
    <w:p w:rsid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</w:pPr>
      <w:r>
        <w:rPr>
          <w:color w:val="000000"/>
        </w:rPr>
        <w:lastRenderedPageBreak/>
        <w:t>Продовження додатку</w:t>
      </w:r>
    </w:p>
    <w:p w:rsidR="002C3C9D" w:rsidRDefault="002C3C9D" w:rsidP="002C3C9D">
      <w:pPr>
        <w:pStyle w:val="a9"/>
        <w:spacing w:before="0" w:beforeAutospacing="0" w:after="0" w:afterAutospacing="0"/>
        <w:ind w:left="2131" w:right="1711"/>
        <w:jc w:val="right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2131" w:right="1711"/>
        <w:jc w:val="center"/>
      </w:pPr>
      <w:r>
        <w:rPr>
          <w:b/>
          <w:bCs/>
          <w:color w:val="000000"/>
          <w:sz w:val="28"/>
          <w:szCs w:val="28"/>
        </w:rPr>
        <w:t>ІІІ. Загальні показники бюджету</w:t>
      </w:r>
    </w:p>
    <w:p w:rsidR="002C3C9D" w:rsidRDefault="002C3C9D" w:rsidP="002C3C9D">
      <w:pPr>
        <w:pStyle w:val="a9"/>
        <w:spacing w:before="5" w:beforeAutospacing="0" w:after="0" w:afterAutospacing="0"/>
      </w:pPr>
      <w:r>
        <w:t> </w:t>
      </w:r>
    </w:p>
    <w:p w:rsidR="002C3C9D" w:rsidRDefault="002C3C9D" w:rsidP="002C3C9D">
      <w:pPr>
        <w:pStyle w:val="a9"/>
        <w:spacing w:before="86" w:beforeAutospacing="0" w:after="0" w:afterAutospacing="0"/>
        <w:ind w:left="696" w:right="260" w:firstLine="542"/>
        <w:jc w:val="both"/>
      </w:pPr>
      <w:r>
        <w:rPr>
          <w:color w:val="000000"/>
          <w:sz w:val="28"/>
          <w:szCs w:val="28"/>
        </w:rPr>
        <w:t>Прогноз включає показники бюджету міської територіальної громади за основними видами доходів, видатків, кредитування та фінансування, взаємовідносинами бюджету територіальної громади з бюджетами інших рівнів, враховує положення та показники, визначені прогнозом, схваленим у попередньому бюджетному періоді.</w:t>
      </w:r>
    </w:p>
    <w:p w:rsidR="002C3C9D" w:rsidRPr="004423FB" w:rsidRDefault="002C3C9D" w:rsidP="004423FB">
      <w:pPr>
        <w:pStyle w:val="a9"/>
        <w:spacing w:before="4" w:beforeAutospacing="0" w:after="0" w:afterAutospacing="0"/>
        <w:ind w:left="696" w:right="262" w:firstLine="542"/>
        <w:jc w:val="both"/>
        <w:rPr>
          <w:lang w:val="uk-UA"/>
        </w:rPr>
      </w:pPr>
      <w:r>
        <w:rPr>
          <w:color w:val="000000"/>
          <w:sz w:val="28"/>
          <w:szCs w:val="28"/>
        </w:rPr>
        <w:t>Показники прогнозу на 2022-2023 </w:t>
      </w:r>
      <w:r w:rsidR="00C03BF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роки</w:t>
      </w:r>
      <w:r w:rsidR="00C03BF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бюджету</w:t>
      </w:r>
      <w:r w:rsidR="00C03BF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територіальної </w:t>
      </w:r>
      <w:r w:rsidR="00C03BF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громади </w:t>
      </w:r>
      <w:r w:rsidR="00C03BF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можуть відрізнятися від показників, схвалених рішенням виконавчого комітету Смілянської міської ради від   22.12.2020 № 523 «Про прогноз бюджету Смілянської міської територіальної громади на 2022-2023 роки» внаслідок:</w:t>
      </w:r>
    </w:p>
    <w:p w:rsidR="002C3C9D" w:rsidRDefault="002C3C9D" w:rsidP="004423FB">
      <w:pPr>
        <w:pStyle w:val="a9"/>
        <w:numPr>
          <w:ilvl w:val="0"/>
          <w:numId w:val="16"/>
        </w:numPr>
        <w:tabs>
          <w:tab w:val="clear" w:pos="720"/>
          <w:tab w:val="left" w:pos="1667"/>
        </w:tabs>
        <w:spacing w:before="4" w:beforeAutospacing="0" w:after="0" w:afterAutospacing="0"/>
        <w:ind w:left="709" w:right="268" w:firstLine="709"/>
        <w:jc w:val="both"/>
      </w:pPr>
      <w:r>
        <w:rPr>
          <w:color w:val="000000"/>
          <w:sz w:val="28"/>
          <w:szCs w:val="28"/>
        </w:rPr>
        <w:t>відхилення оцінки основних прогнозних показників економічного і соціального розвитку міста від прогнозу, врахованого при складанні прогнозу бюджету громади, схваленого у попередньому бюджетному періоді;</w:t>
      </w:r>
    </w:p>
    <w:p w:rsidR="002C3C9D" w:rsidRDefault="002C3C9D" w:rsidP="004423FB">
      <w:pPr>
        <w:pStyle w:val="a9"/>
        <w:numPr>
          <w:ilvl w:val="0"/>
          <w:numId w:val="16"/>
        </w:numPr>
        <w:tabs>
          <w:tab w:val="clear" w:pos="720"/>
          <w:tab w:val="left" w:pos="1652"/>
        </w:tabs>
        <w:spacing w:before="0" w:beforeAutospacing="0" w:after="0" w:afterAutospacing="0"/>
        <w:ind w:left="709" w:right="263" w:firstLine="709"/>
        <w:jc w:val="both"/>
      </w:pPr>
      <w:r>
        <w:rPr>
          <w:color w:val="000000"/>
          <w:sz w:val="28"/>
          <w:szCs w:val="28"/>
        </w:rPr>
        <w:t>відхилення бюджетних показників, визначених рішення сесії Смілянської міської ради VI скликання від 23.12.2020 № 6-36/VIII «Про бюджет Смілянської міської територіальної громади на 2021 рік» (із змінами та доповненнями), від аналогічних показників, врахованих у прогнозі бюджету громади міста, схваленому у попередньому бюджетному періоді;</w:t>
      </w:r>
    </w:p>
    <w:p w:rsidR="002C3C9D" w:rsidRDefault="002C3C9D" w:rsidP="004423FB">
      <w:pPr>
        <w:pStyle w:val="a9"/>
        <w:numPr>
          <w:ilvl w:val="0"/>
          <w:numId w:val="16"/>
        </w:numPr>
        <w:tabs>
          <w:tab w:val="clear" w:pos="720"/>
          <w:tab w:val="left" w:pos="1657"/>
        </w:tabs>
        <w:spacing w:before="0" w:beforeAutospacing="0" w:after="0" w:afterAutospacing="0"/>
        <w:ind w:left="709" w:right="262" w:firstLine="709"/>
        <w:jc w:val="both"/>
      </w:pPr>
      <w:r>
        <w:rPr>
          <w:color w:val="000000"/>
          <w:sz w:val="28"/>
          <w:szCs w:val="28"/>
        </w:rPr>
        <w:t>прийняття нових законодавчих та інших нормативно-правових актів. Законом України «Про внесення змін до Бюджетного кодексу України» від 15.12.2020 №1081-IX збережено норми зарахування до бюджетів місцевого самоврядування частини (13,44%) акцизного податку на пальне.</w:t>
      </w:r>
    </w:p>
    <w:p w:rsidR="002C3C9D" w:rsidRDefault="002C3C9D" w:rsidP="004423FB">
      <w:pPr>
        <w:pStyle w:val="a9"/>
        <w:spacing w:before="2" w:beforeAutospacing="0" w:after="0" w:afterAutospacing="0"/>
        <w:ind w:left="709" w:right="505" w:firstLine="709"/>
        <w:jc w:val="both"/>
      </w:pPr>
      <w:r>
        <w:rPr>
          <w:color w:val="000000"/>
          <w:sz w:val="28"/>
          <w:szCs w:val="28"/>
        </w:rPr>
        <w:t>При розрахунку показників бюджету міської територіальної    громади на 2022-2024 роки враховано:</w:t>
      </w:r>
    </w:p>
    <w:p w:rsidR="002C3C9D" w:rsidRDefault="002C3C9D" w:rsidP="004423FB">
      <w:pPr>
        <w:pStyle w:val="a9"/>
        <w:numPr>
          <w:ilvl w:val="0"/>
          <w:numId w:val="17"/>
        </w:numPr>
        <w:tabs>
          <w:tab w:val="clear" w:pos="720"/>
          <w:tab w:val="left" w:pos="1710"/>
        </w:tabs>
        <w:spacing w:before="0" w:beforeAutospacing="0" w:after="0" w:afterAutospacing="0"/>
        <w:ind w:left="709" w:right="263" w:firstLine="709"/>
        <w:jc w:val="both"/>
      </w:pPr>
      <w:r>
        <w:rPr>
          <w:color w:val="000000"/>
          <w:sz w:val="28"/>
          <w:szCs w:val="28"/>
        </w:rPr>
        <w:t>Прогнозні показники економічного і соціального розвитку міста, підвищення розміру мінімальної заробітної плати, динаміку надходжень за 2020 рік та очікуване виконання за 2021 рік.</w:t>
      </w:r>
    </w:p>
    <w:p w:rsidR="002C3C9D" w:rsidRDefault="002C3C9D" w:rsidP="004423FB">
      <w:pPr>
        <w:pStyle w:val="a9"/>
        <w:numPr>
          <w:ilvl w:val="0"/>
          <w:numId w:val="17"/>
        </w:numPr>
        <w:tabs>
          <w:tab w:val="clear" w:pos="720"/>
          <w:tab w:val="left" w:pos="1547"/>
        </w:tabs>
        <w:spacing w:before="0" w:beforeAutospacing="0" w:after="0" w:afterAutospacing="0"/>
        <w:ind w:left="709" w:right="276" w:firstLine="709"/>
        <w:jc w:val="both"/>
      </w:pPr>
      <w:r>
        <w:rPr>
          <w:color w:val="000000"/>
          <w:sz w:val="28"/>
          <w:szCs w:val="28"/>
        </w:rPr>
        <w:t>Норми податкового та бюджетного законодавства та застосування чинних ставок оподаткування.</w:t>
      </w:r>
    </w:p>
    <w:p w:rsidR="002C3C9D" w:rsidRDefault="002C3C9D" w:rsidP="004423FB">
      <w:pPr>
        <w:pStyle w:val="a9"/>
        <w:numPr>
          <w:ilvl w:val="0"/>
          <w:numId w:val="17"/>
        </w:numPr>
        <w:tabs>
          <w:tab w:val="clear" w:pos="720"/>
          <w:tab w:val="left" w:pos="1547"/>
        </w:tabs>
        <w:spacing w:before="0" w:beforeAutospacing="0" w:after="0" w:afterAutospacing="0"/>
        <w:ind w:left="709" w:right="263" w:firstLine="709"/>
        <w:jc w:val="both"/>
      </w:pPr>
      <w:r>
        <w:rPr>
          <w:color w:val="000000"/>
          <w:sz w:val="28"/>
          <w:szCs w:val="28"/>
        </w:rPr>
        <w:t>Макропоказники визначені з урахуваннями Постанови Кабінету Міністрів України від 31.05.2021 р. № 548 „ </w:t>
      </w:r>
      <w:r>
        <w:rPr>
          <w:color w:val="292B2C"/>
          <w:sz w:val="28"/>
          <w:szCs w:val="28"/>
        </w:rPr>
        <w:t>Про схвалення Бюджетної декларації на 2022- 2024 роки</w:t>
      </w:r>
      <w:r>
        <w:rPr>
          <w:color w:val="000000"/>
          <w:sz w:val="28"/>
          <w:szCs w:val="28"/>
        </w:rPr>
        <w:t>”, яка передбачає:</w:t>
      </w:r>
    </w:p>
    <w:p w:rsidR="002C3C9D" w:rsidRDefault="002C3C9D" w:rsidP="004423FB">
      <w:pPr>
        <w:pStyle w:val="a9"/>
        <w:numPr>
          <w:ilvl w:val="0"/>
          <w:numId w:val="18"/>
        </w:numPr>
        <w:tabs>
          <w:tab w:val="clear" w:pos="720"/>
          <w:tab w:val="left" w:pos="1446"/>
        </w:tabs>
        <w:spacing w:before="0" w:beforeAutospacing="0" w:after="0" w:afterAutospacing="0"/>
        <w:ind w:left="709" w:right="265" w:firstLine="709"/>
        <w:jc w:val="both"/>
      </w:pPr>
      <w:r>
        <w:rPr>
          <w:color w:val="000000"/>
          <w:sz w:val="28"/>
          <w:szCs w:val="28"/>
        </w:rPr>
        <w:t>зростання валового внутрішнього продукту у 2022 році – 3,8 відсотка, у 2023 році – 4,7 відсотка, у 2024 році -5,0 відсотків;</w:t>
      </w:r>
    </w:p>
    <w:p w:rsidR="002C3C9D" w:rsidRDefault="002C3C9D" w:rsidP="004423FB">
      <w:pPr>
        <w:pStyle w:val="a9"/>
        <w:numPr>
          <w:ilvl w:val="0"/>
          <w:numId w:val="18"/>
        </w:numPr>
        <w:tabs>
          <w:tab w:val="clear" w:pos="720"/>
          <w:tab w:val="left" w:pos="1417"/>
        </w:tabs>
        <w:spacing w:before="0" w:beforeAutospacing="0" w:after="0" w:afterAutospacing="0"/>
        <w:ind w:left="709" w:right="255" w:firstLine="709"/>
        <w:jc w:val="both"/>
      </w:pPr>
      <w:r>
        <w:rPr>
          <w:color w:val="000000"/>
          <w:sz w:val="28"/>
          <w:szCs w:val="28"/>
        </w:rPr>
        <w:t>номінальний валовий внутрішній прод</w:t>
      </w:r>
      <w:r w:rsidR="00C03BF3">
        <w:rPr>
          <w:color w:val="000000"/>
          <w:sz w:val="28"/>
          <w:szCs w:val="28"/>
        </w:rPr>
        <w:t>укт у 2022 році – 5 368,8 млрд.</w:t>
      </w:r>
      <w:r>
        <w:rPr>
          <w:color w:val="000000"/>
          <w:sz w:val="28"/>
          <w:szCs w:val="28"/>
        </w:rPr>
        <w:t>гр</w:t>
      </w:r>
      <w:r w:rsidR="00C03BF3">
        <w:rPr>
          <w:color w:val="000000"/>
          <w:sz w:val="28"/>
          <w:szCs w:val="28"/>
        </w:rPr>
        <w:t>н.,у 2023 році – 5 993,9 млрд.</w:t>
      </w:r>
      <w:r>
        <w:rPr>
          <w:color w:val="000000"/>
          <w:sz w:val="28"/>
          <w:szCs w:val="28"/>
        </w:rPr>
        <w:t>грн.., у 2024 році – 6 651,0 млрд. грн..;</w:t>
      </w:r>
    </w:p>
    <w:p w:rsidR="002C3C9D" w:rsidRDefault="002C3C9D" w:rsidP="004423FB">
      <w:pPr>
        <w:pStyle w:val="a9"/>
        <w:numPr>
          <w:ilvl w:val="0"/>
          <w:numId w:val="18"/>
        </w:numPr>
        <w:tabs>
          <w:tab w:val="clear" w:pos="720"/>
          <w:tab w:val="left" w:pos="1432"/>
        </w:tabs>
        <w:spacing w:before="0" w:beforeAutospacing="0" w:after="0" w:afterAutospacing="0"/>
        <w:ind w:left="709" w:right="267" w:firstLine="709"/>
        <w:jc w:val="both"/>
      </w:pPr>
      <w:r>
        <w:rPr>
          <w:color w:val="000000"/>
          <w:sz w:val="28"/>
          <w:szCs w:val="28"/>
        </w:rPr>
        <w:t>індекс споживчих цін (грудень до грудня попереднього року) становитиме 106,2 відсотків у 2022 році , 105,3 відсотків у 2023 році, 105,0 відсотків у 2024 році;</w:t>
      </w:r>
    </w:p>
    <w:p w:rsidR="002C3C9D" w:rsidRDefault="002C3C9D" w:rsidP="004423FB">
      <w:pPr>
        <w:pStyle w:val="a9"/>
        <w:numPr>
          <w:ilvl w:val="0"/>
          <w:numId w:val="18"/>
        </w:numPr>
        <w:tabs>
          <w:tab w:val="clear" w:pos="720"/>
          <w:tab w:val="left" w:pos="1417"/>
        </w:tabs>
        <w:spacing w:before="0" w:beforeAutospacing="0" w:after="0" w:afterAutospacing="0"/>
        <w:ind w:left="709" w:right="264" w:firstLine="709"/>
        <w:jc w:val="both"/>
      </w:pPr>
      <w:r>
        <w:rPr>
          <w:color w:val="000000"/>
          <w:sz w:val="28"/>
          <w:szCs w:val="28"/>
        </w:rPr>
        <w:t xml:space="preserve">індекс цін виробників (грудень до грудня попереднього року) у 2022 </w:t>
      </w:r>
    </w:p>
    <w:p w:rsid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489" w:right="263"/>
        <w:jc w:val="right"/>
      </w:pPr>
      <w:r>
        <w:rPr>
          <w:color w:val="000000"/>
        </w:rPr>
        <w:lastRenderedPageBreak/>
        <w:t>Продовження додатку</w:t>
      </w:r>
    </w:p>
    <w:p w:rsidR="002C3C9D" w:rsidRDefault="002C3C9D" w:rsidP="002C3C9D">
      <w:pPr>
        <w:pStyle w:val="a9"/>
        <w:tabs>
          <w:tab w:val="left" w:pos="1417"/>
        </w:tabs>
        <w:spacing w:before="0" w:beforeAutospacing="0" w:after="0" w:afterAutospacing="0"/>
        <w:ind w:left="1238" w:right="264"/>
        <w:jc w:val="right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64"/>
        <w:jc w:val="both"/>
      </w:pPr>
      <w:r>
        <w:rPr>
          <w:color w:val="000000"/>
          <w:sz w:val="28"/>
          <w:szCs w:val="28"/>
        </w:rPr>
        <w:t>році – 107,8 відсотків, у 2023 році – 106,2 відсотків; у 2024 році 105,7 відсотків.</w:t>
      </w:r>
    </w:p>
    <w:p w:rsidR="002C3C9D" w:rsidRDefault="002C3C9D" w:rsidP="002C3C9D">
      <w:pPr>
        <w:pStyle w:val="a9"/>
        <w:numPr>
          <w:ilvl w:val="0"/>
          <w:numId w:val="19"/>
        </w:numPr>
        <w:tabs>
          <w:tab w:val="clear" w:pos="720"/>
          <w:tab w:val="left" w:pos="1580"/>
        </w:tabs>
        <w:spacing w:before="0" w:beforeAutospacing="0" w:after="0" w:afterAutospacing="0"/>
        <w:ind w:left="1416" w:right="260" w:firstLine="542"/>
        <w:jc w:val="both"/>
      </w:pPr>
      <w:r>
        <w:rPr>
          <w:color w:val="000000"/>
          <w:sz w:val="28"/>
          <w:szCs w:val="28"/>
        </w:rPr>
        <w:t>Розмір мінімальної заробітної плати з 1 січня 2022 року – 6500 грн.,            з1 жовтня 2022 року - 6700 грн. (темп приросту – 3,1 відсотків), з 1 січня 2023 року – 7176 грн. (темп приросту – 7,1 відсотків), з 1 січня 2024 року – 7665 грн. (темп приросту 6,8 відсотків).</w:t>
      </w:r>
    </w:p>
    <w:p w:rsidR="002C3C9D" w:rsidRDefault="002C3C9D" w:rsidP="002C3C9D">
      <w:pPr>
        <w:pStyle w:val="a9"/>
        <w:numPr>
          <w:ilvl w:val="0"/>
          <w:numId w:val="19"/>
        </w:numPr>
        <w:tabs>
          <w:tab w:val="clear" w:pos="720"/>
          <w:tab w:val="left" w:pos="1523"/>
        </w:tabs>
        <w:spacing w:before="0" w:beforeAutospacing="0" w:after="0" w:afterAutospacing="0"/>
        <w:ind w:left="1416" w:right="260" w:firstLine="542"/>
        <w:jc w:val="both"/>
      </w:pPr>
      <w:r>
        <w:rPr>
          <w:color w:val="000000"/>
          <w:sz w:val="28"/>
          <w:szCs w:val="28"/>
        </w:rPr>
        <w:t>Розмір посадового окладу працівника І тарифного розряду Єдиної тарифної сітки з 1 січня 2022 року – 2893 грн., з 01 жовтня 2022 року -2982 (темп приросту – 3,1 відсотка), з 1 січня 2023 року – 3193 грн. (темп приросту – 7,1 відсотка), з         1 січня 2024 року -3 411 грн. (темп приросту - 6,8 відсотка).</w:t>
      </w:r>
    </w:p>
    <w:p w:rsidR="002C3C9D" w:rsidRDefault="002C3C9D" w:rsidP="002C3C9D">
      <w:pPr>
        <w:pStyle w:val="a9"/>
        <w:spacing w:before="0" w:beforeAutospacing="0" w:after="0" w:afterAutospacing="0"/>
        <w:ind w:left="1239"/>
        <w:jc w:val="both"/>
      </w:pPr>
      <w:r>
        <w:rPr>
          <w:color w:val="000000"/>
          <w:sz w:val="28"/>
          <w:szCs w:val="28"/>
        </w:rPr>
        <w:t>Загальні показники бюджету наведено в додатку 1.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55" w:firstLine="542"/>
        <w:jc w:val="both"/>
      </w:pPr>
      <w:r>
        <w:rPr>
          <w:color w:val="000000"/>
          <w:sz w:val="28"/>
          <w:szCs w:val="28"/>
        </w:rPr>
        <w:t>Видатки бюджету обраховано в наступних обсягах : 2022 рік -   511 760 417 грн.  грн., (в т.ч. загального фонду – 484 270 750 грн., спеціального фонду – 27 489 667 грн. Темп росту видатків складає: 2022 до 2021 – 2,6 відсотків,  2023 до 2022 – 8,4 відсотків, 2024 до 2023 –        6,3 відсотків .</w:t>
      </w:r>
    </w:p>
    <w:p w:rsidR="002C3C9D" w:rsidRDefault="002C3C9D" w:rsidP="002C3C9D">
      <w:pPr>
        <w:pStyle w:val="a9"/>
        <w:spacing w:before="6" w:beforeAutospacing="0" w:after="0" w:afterAutospacing="0"/>
      </w:pPr>
      <w:r>
        <w:t> </w:t>
      </w:r>
    </w:p>
    <w:p w:rsidR="002C3C9D" w:rsidRPr="00C03BF3" w:rsidRDefault="002C3C9D" w:rsidP="00C03BF3">
      <w:pPr>
        <w:pStyle w:val="2"/>
        <w:ind w:left="2131" w:right="1711"/>
        <w:jc w:val="center"/>
      </w:pPr>
      <w:r>
        <w:rPr>
          <w:color w:val="000000"/>
        </w:rPr>
        <w:t>ІV. Показники доходів бюджету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Доходи бюджету Смілянської міської територіальної громади на 2022 - 2024 роки сформовані із застосуванням норм чинних та проектів (прийнятих в першому читанні Верховною Радою України 24.06.2021 № 5600) Бюджетного та Податкового кодексів України і враховує :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- показники відповідно до річного звіту за попередній бюджетний період (звіт наданий органами Казначейства за 2020 рік);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- показники, затверджені розписом бюджету громади на поточний бюджетний період (з урахуванням усіх внесених змін станом 01 липня року, що передує плановому);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- очікуване виконання доходної частини бюджету громади за 2021 рік;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- основні макропоказники економічного і соціального розвитку України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rPr>
          <w:color w:val="000000"/>
          <w:sz w:val="28"/>
          <w:szCs w:val="28"/>
        </w:rPr>
        <w:t>у 2020 – 2024 роках;</w:t>
      </w:r>
    </w:p>
    <w:p w:rsidR="002C3C9D" w:rsidRDefault="002C3C9D" w:rsidP="002C3C9D">
      <w:pPr>
        <w:pStyle w:val="a9"/>
        <w:widowControl w:val="0"/>
        <w:numPr>
          <w:ilvl w:val="0"/>
          <w:numId w:val="20"/>
        </w:numPr>
        <w:spacing w:before="0" w:beforeAutospacing="0" w:after="0" w:afterAutospacing="0"/>
        <w:ind w:left="1429" w:right="258" w:firstLine="567"/>
        <w:jc w:val="both"/>
      </w:pPr>
      <w:r>
        <w:rPr>
          <w:color w:val="000000"/>
          <w:sz w:val="28"/>
          <w:szCs w:val="28"/>
        </w:rPr>
        <w:t>підвищення розміру прожиткового мінімуму, мінімальної заробітної плати та посадового окладу (тарифної сітки) працівника І тарифного розряду Єдиної тарифної сітки;</w:t>
      </w:r>
    </w:p>
    <w:p w:rsidR="002C3C9D" w:rsidRDefault="002C3C9D" w:rsidP="002C3C9D">
      <w:pPr>
        <w:pStyle w:val="a9"/>
        <w:widowControl w:val="0"/>
        <w:numPr>
          <w:ilvl w:val="0"/>
          <w:numId w:val="20"/>
        </w:numPr>
        <w:spacing w:before="0" w:beforeAutospacing="0" w:after="0" w:afterAutospacing="0"/>
        <w:ind w:left="1429" w:right="258" w:firstLine="567"/>
        <w:jc w:val="both"/>
      </w:pPr>
      <w:r>
        <w:rPr>
          <w:color w:val="000000"/>
          <w:sz w:val="28"/>
          <w:szCs w:val="28"/>
        </w:rPr>
        <w:t>застосування ставок місцевих податків, встановлених рішеннями міської ради від 09.06.2021 № 16-1/VIII «Про місцеві податки та збори» та від 09.06.2021 №16-2/VIII «Про встановлення ставок земельного податку та пільг зі сплати земельного податку в адміністративних межах Смілянської міської ради»;</w:t>
      </w:r>
    </w:p>
    <w:p w:rsidR="002C3C9D" w:rsidRDefault="002C3C9D" w:rsidP="002C3C9D">
      <w:pPr>
        <w:pStyle w:val="a9"/>
        <w:widowControl w:val="0"/>
        <w:numPr>
          <w:ilvl w:val="0"/>
          <w:numId w:val="20"/>
        </w:numPr>
        <w:spacing w:before="0" w:beforeAutospacing="0" w:after="0" w:afterAutospacing="0"/>
        <w:ind w:left="1429" w:right="258" w:firstLine="567"/>
        <w:jc w:val="both"/>
      </w:pPr>
      <w:r>
        <w:rPr>
          <w:color w:val="000000"/>
          <w:sz w:val="28"/>
          <w:szCs w:val="28"/>
        </w:rPr>
        <w:t> прогнозні втрати бюджету територіальної громади міста внаслідок надання пільг зі сплати земельного податку;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- прогнозних розрахунків надходжень податків і зборів наданих ГУ ДПС у Черкаській області.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 xml:space="preserve">З урахуванням прогнозу основних макроекономічних показників </w:t>
      </w:r>
    </w:p>
    <w:p w:rsid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</w:pPr>
      <w:r>
        <w:rPr>
          <w:color w:val="000000"/>
        </w:rPr>
        <w:lastRenderedPageBreak/>
        <w:t>Продовження додатку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right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rPr>
          <w:color w:val="000000"/>
          <w:sz w:val="28"/>
          <w:szCs w:val="28"/>
        </w:rPr>
        <w:t>економічного та соціального розвитку країни, динаміки бази оподаткування, ефективності податкового адміністрування, загальні показники доходів бюджету Смілянської міської територіальної громади на 2022 – 2024 роки зростають.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Обсяг доходів бюджету громади прогнозується на: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– 2022 рік – 512 360 417  грн. (ріст до 2021 року – 16 848 641 грн.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rPr>
          <w:color w:val="000000"/>
          <w:sz w:val="28"/>
          <w:szCs w:val="28"/>
        </w:rPr>
        <w:t>(3,4 відсотків), у тому числі доходи загального фонду – 497 856 610  грн.;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– 2023 рік – 555 302 178 грн. (ріст до 2022 року – 42 941 761 грн.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rPr>
          <w:color w:val="000000"/>
          <w:sz w:val="28"/>
          <w:szCs w:val="28"/>
        </w:rPr>
        <w:t>(8,4ідсотків), у тому числі доходи загального фонду – 540 117 624 грн.;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– 2024 рік – 590 347 972 грн. (ріст до 2023 року – 35 045 794 грн.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rPr>
          <w:color w:val="000000"/>
          <w:sz w:val="28"/>
          <w:szCs w:val="28"/>
        </w:rPr>
        <w:t>(6,3 відсотків), у тому числі доходи загального фонду – 574 589 538  грн.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center"/>
      </w:pPr>
      <w:r>
        <w:rPr>
          <w:b/>
          <w:bCs/>
          <w:color w:val="000000"/>
          <w:sz w:val="28"/>
          <w:szCs w:val="28"/>
        </w:rPr>
        <w:t>ЗАГАЛЬНИЙ ФОНД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709"/>
        <w:jc w:val="both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709"/>
        <w:jc w:val="both"/>
      </w:pPr>
      <w:r>
        <w:rPr>
          <w:color w:val="000000"/>
          <w:sz w:val="28"/>
          <w:szCs w:val="28"/>
        </w:rPr>
        <w:t>Обсяг власних доходів загального фонду громади міста  визначений: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– 2022 рік – 358 509 700 грн. (ріст до 2021 року – 18 259 700 грн.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rPr>
          <w:color w:val="000000"/>
          <w:sz w:val="28"/>
          <w:szCs w:val="28"/>
        </w:rPr>
        <w:t>(5,4 відсотків);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– 2023 рік – 388 826 500 грн. (ріст до 2022 року – 30 316 800 грн.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rPr>
          <w:color w:val="000000"/>
          <w:sz w:val="28"/>
          <w:szCs w:val="28"/>
        </w:rPr>
        <w:t>(8,4 відсотків);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– 2024 рік –  413 987 100 грн. (ріст до 2023 року – 25 160 600 грн.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rPr>
          <w:color w:val="000000"/>
          <w:sz w:val="28"/>
          <w:szCs w:val="28"/>
        </w:rPr>
        <w:t>(6,5 відсотків).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center"/>
      </w:pPr>
      <w:r>
        <w:rPr>
          <w:b/>
          <w:bCs/>
          <w:color w:val="000000"/>
          <w:sz w:val="28"/>
          <w:szCs w:val="28"/>
        </w:rPr>
        <w:t>СПЕЦІАЛЬНИЙ ФОНД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709"/>
        <w:jc w:val="both"/>
      </w:pPr>
      <w:r>
        <w:rPr>
          <w:color w:val="000000"/>
          <w:sz w:val="28"/>
          <w:szCs w:val="28"/>
        </w:rPr>
        <w:t>Обсяг власних доходів спеціального фонду громади міста  визначений: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– 2022 рік – 14 503 800 грн. (ріст до 2021 року –  2 359 400 грн.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rPr>
          <w:color w:val="000000"/>
          <w:sz w:val="28"/>
          <w:szCs w:val="28"/>
        </w:rPr>
        <w:t>(19,4 відсотків);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– 2023 рік – 15 184 600 грн. (ріст до 2022 року – 680 800 грн.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rPr>
          <w:color w:val="000000"/>
          <w:sz w:val="28"/>
          <w:szCs w:val="28"/>
        </w:rPr>
        <w:t>(4,7 відсотків);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>– 2024 рік –  15 758 400 грн. (ріст до 2023 року – 573 800 грн.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rPr>
          <w:color w:val="000000"/>
          <w:sz w:val="28"/>
          <w:szCs w:val="28"/>
        </w:rPr>
        <w:t>(3,8 відсотків).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7"/>
        <w:jc w:val="both"/>
      </w:pPr>
      <w:r>
        <w:rPr>
          <w:color w:val="000000"/>
          <w:sz w:val="28"/>
          <w:szCs w:val="28"/>
        </w:rPr>
        <w:t xml:space="preserve">Індикативні показники власних доходів бюджету Смілянської міської територіальної громади на 2022 – 2024 роки наведено в </w:t>
      </w:r>
    </w:p>
    <w:p w:rsidR="002C3C9D" w:rsidRDefault="002C3C9D" w:rsidP="002C3C9D">
      <w:pPr>
        <w:pStyle w:val="a9"/>
        <w:spacing w:before="0" w:beforeAutospacing="0" w:after="0" w:afterAutospacing="0"/>
        <w:ind w:right="258"/>
        <w:jc w:val="both"/>
      </w:pPr>
      <w:r>
        <w:rPr>
          <w:color w:val="000000"/>
          <w:sz w:val="28"/>
          <w:szCs w:val="28"/>
        </w:rPr>
        <w:t>          додатку 2.</w:t>
      </w:r>
    </w:p>
    <w:p w:rsidR="002C3C9D" w:rsidRDefault="002C3C9D" w:rsidP="002C3C9D">
      <w:pPr>
        <w:pStyle w:val="a9"/>
        <w:spacing w:before="9" w:beforeAutospacing="0" w:after="0" w:afterAutospacing="0"/>
        <w:ind w:left="709" w:right="258"/>
        <w:jc w:val="both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/>
        <w:jc w:val="both"/>
      </w:pPr>
      <w:r>
        <w:t> </w:t>
      </w:r>
    </w:p>
    <w:p w:rsidR="002C3C9D" w:rsidRDefault="002C3C9D" w:rsidP="002C3C9D">
      <w:pPr>
        <w:pStyle w:val="2"/>
        <w:spacing w:before="4"/>
        <w:ind w:left="1292" w:right="258" w:firstLine="100"/>
        <w:jc w:val="both"/>
      </w:pPr>
      <w:r>
        <w:rPr>
          <w:color w:val="000000"/>
        </w:rPr>
        <w:t xml:space="preserve">V. Показники фінансування бюджету, показники місцевого боргу, гарантованого Автономною </w:t>
      </w:r>
      <w:r w:rsidR="00806A95">
        <w:rPr>
          <w:color w:val="000000"/>
        </w:rPr>
        <w:t>Республікою Крим,обласною радою</w:t>
      </w:r>
      <w:r>
        <w:rPr>
          <w:color w:val="000000"/>
        </w:rPr>
        <w:t>чи територіальною громадою міста боргу та надання місцевих гарантій</w:t>
      </w:r>
    </w:p>
    <w:p w:rsidR="002C3C9D" w:rsidRDefault="002C3C9D" w:rsidP="002C3C9D">
      <w:pPr>
        <w:pStyle w:val="a9"/>
        <w:spacing w:before="4" w:beforeAutospacing="0" w:after="0" w:afterAutospacing="0"/>
        <w:ind w:right="258"/>
        <w:jc w:val="both"/>
      </w:pPr>
      <w:r>
        <w:t> </w:t>
      </w:r>
    </w:p>
    <w:p w:rsidR="002C3C9D" w:rsidRDefault="002C3C9D" w:rsidP="002C3C9D">
      <w:pPr>
        <w:pStyle w:val="a9"/>
        <w:spacing w:before="87" w:beforeAutospacing="0" w:after="0" w:afterAutospacing="0"/>
        <w:ind w:left="4451" w:right="258"/>
        <w:jc w:val="both"/>
      </w:pPr>
      <w:r>
        <w:rPr>
          <w:b/>
          <w:bCs/>
          <w:color w:val="000000"/>
          <w:sz w:val="28"/>
          <w:szCs w:val="28"/>
        </w:rPr>
        <w:t>Фінансування бюджету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58" w:firstLine="56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Кошти, що передаються із загального фонду до бюджету розвитку (спеціального   фонду)   на   2022   рік   –   14 685 900 грн.,   на   2023   рік   – 15 399 200 грн., на 2024 рік – 16 108 900 грн.</w:t>
      </w:r>
    </w:p>
    <w:p w:rsidR="00806A95" w:rsidRPr="00806A95" w:rsidRDefault="00806A95" w:rsidP="002C3C9D">
      <w:pPr>
        <w:pStyle w:val="a9"/>
        <w:spacing w:before="0" w:beforeAutospacing="0" w:after="0" w:afterAutospacing="0"/>
        <w:ind w:left="696" w:right="258" w:firstLine="566"/>
        <w:rPr>
          <w:lang w:val="uk-UA"/>
        </w:rPr>
      </w:pPr>
    </w:p>
    <w:p w:rsid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</w:pPr>
      <w:r>
        <w:rPr>
          <w:color w:val="000000"/>
        </w:rPr>
        <w:lastRenderedPageBreak/>
        <w:t>Продовження додатку</w:t>
      </w:r>
    </w:p>
    <w:p w:rsidR="002C3C9D" w:rsidRDefault="002C3C9D" w:rsidP="002C3C9D">
      <w:pPr>
        <w:pStyle w:val="a9"/>
        <w:spacing w:before="8" w:beforeAutospacing="0" w:after="0" w:afterAutospacing="0"/>
        <w:ind w:right="258"/>
        <w:jc w:val="right"/>
      </w:pPr>
      <w:r>
        <w:t> </w:t>
      </w:r>
    </w:p>
    <w:p w:rsidR="002C3C9D" w:rsidRDefault="002C3C9D" w:rsidP="002C3C9D">
      <w:pPr>
        <w:pStyle w:val="2"/>
        <w:ind w:left="678" w:right="258"/>
        <w:jc w:val="center"/>
      </w:pPr>
      <w:r>
        <w:rPr>
          <w:color w:val="000000"/>
        </w:rPr>
        <w:t>VІ. Показники видатків бюджету та надання кредитів з бюджету</w:t>
      </w:r>
    </w:p>
    <w:p w:rsidR="002C3C9D" w:rsidRDefault="002C3C9D" w:rsidP="002C3C9D">
      <w:pPr>
        <w:pStyle w:val="2"/>
        <w:ind w:left="678" w:right="258"/>
        <w:jc w:val="center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720" w:right="258" w:firstLine="720"/>
        <w:jc w:val="both"/>
      </w:pPr>
      <w:r>
        <w:rPr>
          <w:color w:val="000000"/>
          <w:sz w:val="28"/>
          <w:szCs w:val="28"/>
        </w:rPr>
        <w:t>Формування прогнозних показників видатків бюджету міської територіальної громади на наступні роки по основних видах видатків проведено зі збереженням в умовах чинного законодавства видатків по всіх галузях соціально-культурної сфери та соціального захисту населення з додержанням принципу першочерговості їх фінансування, забезпечення пріоритетного спрямування коштів на соціально – захищені статті видатків в повному обсязі.</w:t>
      </w:r>
    </w:p>
    <w:p w:rsidR="002C3C9D" w:rsidRDefault="002C3C9D" w:rsidP="002C3C9D">
      <w:pPr>
        <w:pStyle w:val="a9"/>
        <w:tabs>
          <w:tab w:val="left" w:pos="720"/>
        </w:tabs>
        <w:spacing w:before="0" w:beforeAutospacing="0" w:after="0" w:afterAutospacing="0"/>
        <w:ind w:left="709" w:right="258" w:firstLine="851"/>
        <w:jc w:val="both"/>
      </w:pPr>
      <w:r>
        <w:rPr>
          <w:color w:val="000000"/>
          <w:sz w:val="28"/>
          <w:szCs w:val="28"/>
        </w:rPr>
        <w:t>У цілому прогноз видатків бюджету міської територіальної громади у  2022 році становить 521 599 085,00 грн., у тому числі загального фонду – 494 109 418,00 грн., спеціального фонду – 27 489 667,00 грн., у 2023 році – 564 540 846,00 грн., у тому числі загального фонду – 535 682 042,00 грн., спеціального фонду – 28 858 804,00 грн., в 2024 році – 599 586 643,00 грн.,  у тому числі загального фонду – 569 469 269,00 грн., спеціального фонду  -                30 117 374,00 грн.</w:t>
      </w:r>
    </w:p>
    <w:p w:rsidR="002C3C9D" w:rsidRDefault="002C3C9D" w:rsidP="002C3C9D">
      <w:pPr>
        <w:pStyle w:val="a9"/>
        <w:tabs>
          <w:tab w:val="left" w:pos="709"/>
        </w:tabs>
        <w:spacing w:before="0" w:beforeAutospacing="0" w:after="0" w:afterAutospacing="0"/>
        <w:ind w:left="696" w:right="263" w:firstLine="566"/>
        <w:jc w:val="both"/>
      </w:pPr>
      <w:r>
        <w:rPr>
          <w:color w:val="000000"/>
          <w:sz w:val="28"/>
          <w:szCs w:val="28"/>
        </w:rPr>
        <w:t>Основним завданням бюджетної політики на місцевому рівні на 2022-2024 роки залишатиметься забезпечення стабільності, результативності, стійкості та збалансованості бюджету територіальної громади, ефективне використання бюджетних коштів в умовах обмеженості бюджетних ресурсів.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67" w:firstLine="566"/>
        <w:jc w:val="both"/>
      </w:pPr>
      <w:r>
        <w:rPr>
          <w:color w:val="000000"/>
          <w:sz w:val="28"/>
          <w:szCs w:val="28"/>
        </w:rPr>
        <w:t>Фінансування видатків бюджету Смілянської міської територіальної громади, міських цільових програм на період до 2024 року здійснюватиметься в рамках жорсткої економії бюджетних коштів. В цих умовах визначальним стане підвищення ефективності видатків, що відбуватиметься на основі їх пріоритетності та оцінки ступеня досягнення очікуваних результатів.</w:t>
      </w:r>
    </w:p>
    <w:p w:rsidR="002C3C9D" w:rsidRDefault="002C3C9D" w:rsidP="002C3C9D">
      <w:pPr>
        <w:pStyle w:val="a9"/>
        <w:tabs>
          <w:tab w:val="left" w:pos="6522"/>
        </w:tabs>
        <w:spacing w:before="0" w:beforeAutospacing="0" w:after="0" w:afterAutospacing="0"/>
        <w:ind w:right="3515"/>
      </w:pPr>
      <w:r>
        <w:rPr>
          <w:color w:val="000000"/>
          <w:sz w:val="28"/>
          <w:szCs w:val="28"/>
        </w:rPr>
        <w:t>          Пріоритетними завданнями розвитку галузей є:</w:t>
      </w:r>
    </w:p>
    <w:p w:rsidR="002C3C9D" w:rsidRDefault="002C3C9D" w:rsidP="002C3C9D">
      <w:pPr>
        <w:pStyle w:val="2"/>
        <w:ind w:right="3838"/>
        <w:jc w:val="right"/>
      </w:pPr>
      <w:r>
        <w:t> </w:t>
      </w:r>
    </w:p>
    <w:p w:rsidR="002C3C9D" w:rsidRDefault="002C3C9D" w:rsidP="002C3C9D">
      <w:pPr>
        <w:pStyle w:val="2"/>
        <w:ind w:right="3838"/>
        <w:jc w:val="right"/>
      </w:pPr>
      <w:r>
        <w:rPr>
          <w:color w:val="000000"/>
        </w:rPr>
        <w:t>Державне управління</w:t>
      </w:r>
    </w:p>
    <w:p w:rsidR="002C3C9D" w:rsidRPr="00806A95" w:rsidRDefault="002C3C9D" w:rsidP="002C3C9D">
      <w:pPr>
        <w:pStyle w:val="2"/>
        <w:tabs>
          <w:tab w:val="left" w:pos="1701"/>
          <w:tab w:val="left" w:pos="1985"/>
        </w:tabs>
        <w:ind w:left="709" w:right="258"/>
        <w:jc w:val="both"/>
        <w:rPr>
          <w:b w:val="0"/>
        </w:rPr>
      </w:pPr>
      <w:r>
        <w:rPr>
          <w:color w:val="000000"/>
        </w:rPr>
        <w:t xml:space="preserve">        </w:t>
      </w:r>
      <w:r w:rsidRPr="00806A95">
        <w:rPr>
          <w:b w:val="0"/>
          <w:color w:val="000000"/>
        </w:rPr>
        <w:t>Надані законодавством повноваження у сфері державного управління у місті Сміла реалізовуються через міську раду, представлену виконавчими органами, у тому числі управліннями, відділами та секторами із загальною чисельністю        199 штатних одиниць станом на 01.07.2021 року.</w:t>
      </w:r>
    </w:p>
    <w:p w:rsidR="002C3C9D" w:rsidRPr="00806A95" w:rsidRDefault="002C3C9D" w:rsidP="002C3C9D">
      <w:pPr>
        <w:pStyle w:val="2"/>
        <w:tabs>
          <w:tab w:val="left" w:pos="1701"/>
          <w:tab w:val="left" w:pos="1985"/>
        </w:tabs>
        <w:ind w:left="709" w:right="258"/>
        <w:jc w:val="both"/>
        <w:rPr>
          <w:b w:val="0"/>
        </w:rPr>
      </w:pPr>
      <w:r w:rsidRPr="00806A95">
        <w:rPr>
          <w:b w:val="0"/>
          <w:color w:val="000000"/>
        </w:rPr>
        <w:t>        Метою діяльності є керівництво та управління виконавчими органами у відповідних сферах для ефективного представлення інтересів територіальної громади та здійснення від її імені та в її інтересах функцій і повноважень місцевого самоврядування, визначених Конституцією та законами України.</w:t>
      </w:r>
    </w:p>
    <w:p w:rsidR="002C3C9D" w:rsidRPr="00806A95" w:rsidRDefault="002C3C9D" w:rsidP="002C3C9D">
      <w:pPr>
        <w:pStyle w:val="2"/>
        <w:tabs>
          <w:tab w:val="left" w:pos="1701"/>
          <w:tab w:val="left" w:pos="1985"/>
        </w:tabs>
        <w:ind w:left="709" w:right="258"/>
        <w:jc w:val="both"/>
        <w:rPr>
          <w:b w:val="0"/>
        </w:rPr>
      </w:pPr>
      <w:r w:rsidRPr="00806A95">
        <w:rPr>
          <w:b w:val="0"/>
          <w:color w:val="000000"/>
        </w:rPr>
        <w:t>        Пріоритетним напрямком у сфері державного управління є забезпечення створення та підтримки сприятливого життєвого середовища, необхідного для всебічного розвитку людини, її самореалізації, захисту її прав, надання населенню місцевим самоврядуванням, утвореними установами та організаціями високоякісних і доступних адміністративних, соціальних та інших послуг, створення належних матеріальних, фінансових та організаційних умов для забезпечення</w:t>
      </w:r>
      <w:r>
        <w:rPr>
          <w:color w:val="000000"/>
        </w:rPr>
        <w:t xml:space="preserve"> </w:t>
      </w:r>
      <w:r w:rsidRPr="00806A95">
        <w:rPr>
          <w:b w:val="0"/>
          <w:color w:val="000000"/>
        </w:rPr>
        <w:t xml:space="preserve">здійснення власних і </w:t>
      </w:r>
    </w:p>
    <w:p w:rsidR="002C3C9D" w:rsidRP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  <w:rPr>
          <w:lang w:val="uk-UA"/>
        </w:rPr>
      </w:pPr>
      <w:r w:rsidRPr="002C3C9D">
        <w:rPr>
          <w:color w:val="000000"/>
          <w:lang w:val="uk-UA"/>
        </w:rPr>
        <w:lastRenderedPageBreak/>
        <w:t>Продовження додатку</w:t>
      </w:r>
    </w:p>
    <w:p w:rsidR="002C3C9D" w:rsidRDefault="002C3C9D" w:rsidP="002C3C9D">
      <w:pPr>
        <w:pStyle w:val="2"/>
        <w:tabs>
          <w:tab w:val="left" w:pos="1701"/>
          <w:tab w:val="left" w:pos="1985"/>
        </w:tabs>
        <w:ind w:left="709" w:right="258"/>
        <w:jc w:val="right"/>
      </w:pPr>
      <w:r>
        <w:t> </w:t>
      </w:r>
    </w:p>
    <w:p w:rsidR="002C3C9D" w:rsidRPr="00806A95" w:rsidRDefault="002C3C9D" w:rsidP="002C3C9D">
      <w:pPr>
        <w:pStyle w:val="2"/>
        <w:tabs>
          <w:tab w:val="left" w:pos="1701"/>
          <w:tab w:val="left" w:pos="1985"/>
        </w:tabs>
        <w:ind w:left="709" w:right="258"/>
        <w:jc w:val="both"/>
        <w:rPr>
          <w:b w:val="0"/>
        </w:rPr>
      </w:pPr>
      <w:r w:rsidRPr="00806A95">
        <w:rPr>
          <w:b w:val="0"/>
          <w:color w:val="000000"/>
        </w:rPr>
        <w:t>делегованих повноважень.</w:t>
      </w:r>
    </w:p>
    <w:p w:rsidR="002C3C9D" w:rsidRPr="00806A95" w:rsidRDefault="002C3C9D" w:rsidP="002C3C9D">
      <w:pPr>
        <w:pStyle w:val="2"/>
        <w:tabs>
          <w:tab w:val="left" w:pos="1701"/>
          <w:tab w:val="left" w:pos="1985"/>
        </w:tabs>
        <w:ind w:left="709" w:right="258"/>
        <w:jc w:val="both"/>
        <w:rPr>
          <w:b w:val="0"/>
        </w:rPr>
      </w:pPr>
      <w:r w:rsidRPr="00806A95">
        <w:rPr>
          <w:b w:val="0"/>
        </w:rPr>
        <w:t> </w:t>
      </w:r>
    </w:p>
    <w:p w:rsidR="002C3C9D" w:rsidRDefault="002C3C9D" w:rsidP="002C3C9D">
      <w:pPr>
        <w:pStyle w:val="2"/>
        <w:spacing w:before="2"/>
        <w:ind w:left="5234"/>
      </w:pPr>
      <w:r>
        <w:rPr>
          <w:color w:val="000000"/>
        </w:rPr>
        <w:t>Освіта</w:t>
      </w:r>
    </w:p>
    <w:p w:rsidR="002C3C9D" w:rsidRPr="002C3C9D" w:rsidRDefault="002C3C9D" w:rsidP="002C3C9D">
      <w:pPr>
        <w:pStyle w:val="a9"/>
        <w:widowControl w:val="0"/>
        <w:spacing w:before="0" w:beforeAutospacing="0" w:after="0" w:afterAutospacing="0"/>
        <w:ind w:left="720" w:right="258" w:firstLine="720"/>
        <w:jc w:val="both"/>
        <w:rPr>
          <w:lang w:val="uk-UA"/>
        </w:rPr>
      </w:pPr>
      <w:r w:rsidRPr="002C3C9D">
        <w:rPr>
          <w:color w:val="000000"/>
          <w:sz w:val="28"/>
          <w:szCs w:val="28"/>
          <w:lang w:val="uk-UA"/>
        </w:rPr>
        <w:t xml:space="preserve">Пріоритетними завданнями у галузі освіти є забезпечення доступності високоякісної освіти в закладах дошкільної та загальної середньої освіти </w:t>
      </w:r>
      <w:r>
        <w:rPr>
          <w:color w:val="000000"/>
          <w:sz w:val="28"/>
          <w:szCs w:val="28"/>
        </w:rPr>
        <w:t> </w:t>
      </w:r>
      <w:r w:rsidRPr="002C3C9D">
        <w:rPr>
          <w:color w:val="000000"/>
          <w:sz w:val="28"/>
          <w:szCs w:val="28"/>
          <w:lang w:val="uk-UA"/>
        </w:rPr>
        <w:t>для всіх громадян України незалежно від місця їх проживання.</w:t>
      </w:r>
    </w:p>
    <w:p w:rsidR="002C3C9D" w:rsidRPr="002C3C9D" w:rsidRDefault="002C3C9D" w:rsidP="002C3C9D">
      <w:pPr>
        <w:pStyle w:val="a9"/>
        <w:widowControl w:val="0"/>
        <w:spacing w:before="0" w:beforeAutospacing="0" w:after="0" w:afterAutospacing="0"/>
        <w:ind w:left="720" w:right="258" w:firstLine="720"/>
        <w:jc w:val="both"/>
        <w:rPr>
          <w:lang w:val="uk-UA"/>
        </w:rPr>
      </w:pPr>
      <w:r>
        <w:t> 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258" w:firstLine="720"/>
        <w:jc w:val="both"/>
      </w:pPr>
      <w:r>
        <w:rPr>
          <w:color w:val="000000"/>
          <w:sz w:val="28"/>
          <w:szCs w:val="28"/>
        </w:rPr>
        <w:t>У 2022-2024 роках передбачається здійснити такі заходи: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851"/>
        <w:jc w:val="both"/>
      </w:pPr>
      <w:r>
        <w:rPr>
          <w:color w:val="000000"/>
          <w:sz w:val="28"/>
          <w:szCs w:val="28"/>
        </w:rPr>
        <w:t>забезпечення стабільного функціонування галузі;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851"/>
        <w:jc w:val="both"/>
      </w:pPr>
      <w:r>
        <w:rPr>
          <w:color w:val="000000"/>
          <w:sz w:val="28"/>
          <w:szCs w:val="28"/>
        </w:rPr>
        <w:t>посилення відповідальності навчальних закладів за якість надання освітніх послуг;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851"/>
        <w:jc w:val="both"/>
      </w:pPr>
      <w:r>
        <w:rPr>
          <w:color w:val="000000"/>
          <w:sz w:val="28"/>
          <w:szCs w:val="28"/>
        </w:rPr>
        <w:t>забезпечення права і комфортних умов на освіту дітей з особливими освітніми потребами  в закладах загальної середньої освіти, одержання освіти та участі в трудовій діяльності громадян, що відносяться до категорії осіб з обмеженими можливостями здоров’я та з особливими освітніми потребами;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258" w:firstLine="851"/>
        <w:jc w:val="both"/>
      </w:pPr>
      <w:r>
        <w:rPr>
          <w:color w:val="000000"/>
          <w:sz w:val="28"/>
          <w:szCs w:val="28"/>
        </w:rPr>
        <w:t>підвищення якості загальної середньої освіти шляхом модернізації матеріально-технічної  бази закладів загальної середньої освіти, підготовки та підвищення рівня професійної компетентності вчителя;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258" w:firstLine="851"/>
        <w:jc w:val="both"/>
      </w:pPr>
      <w:r>
        <w:rPr>
          <w:color w:val="000000"/>
          <w:sz w:val="28"/>
          <w:szCs w:val="28"/>
        </w:rPr>
        <w:t>створення умов для раннього вияву творчих нахилів дитини;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258" w:firstLine="851"/>
        <w:jc w:val="both"/>
      </w:pPr>
      <w:r>
        <w:rPr>
          <w:color w:val="000000"/>
          <w:sz w:val="28"/>
          <w:szCs w:val="28"/>
        </w:rPr>
        <w:t>створення у закладах освіти безпечного та комфортного освітнього середовища, що сприяє збереженню здоров’я;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258" w:firstLine="851"/>
        <w:jc w:val="both"/>
      </w:pPr>
      <w:r>
        <w:rPr>
          <w:color w:val="000000"/>
          <w:sz w:val="28"/>
          <w:szCs w:val="28"/>
        </w:rPr>
        <w:t>створення належних умов для здобуття якісної освіти дітьми соціально незахищених категорій;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258" w:firstLine="851"/>
        <w:jc w:val="both"/>
      </w:pPr>
      <w:r>
        <w:rPr>
          <w:color w:val="000000"/>
          <w:sz w:val="28"/>
          <w:szCs w:val="28"/>
        </w:rPr>
        <w:t>збільшення чисельності дітей, охоплених дошкільною освітою, модернізація матеріально-технічної бази закладів дошкільної освіти;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258" w:firstLine="851"/>
        <w:jc w:val="both"/>
      </w:pPr>
      <w:r>
        <w:rPr>
          <w:color w:val="000000"/>
          <w:sz w:val="28"/>
          <w:szCs w:val="28"/>
        </w:rPr>
        <w:t>створення умов для подальшого розвитку позашкільної освіти, проведення модернізації навчальної, матеріально-технічної бази позашкільних навчальних закладів, оснащення їх сучасним обладнанням;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258" w:firstLine="851"/>
        <w:jc w:val="both"/>
      </w:pPr>
      <w:r>
        <w:rPr>
          <w:color w:val="000000"/>
          <w:sz w:val="28"/>
          <w:szCs w:val="28"/>
        </w:rPr>
        <w:t>покращення матеріально-технічної бази закладів освіти, проведення капітальних та поточних ремонтів, заходів з пожежної безпеки;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09" w:right="258" w:firstLine="851"/>
        <w:jc w:val="both"/>
      </w:pPr>
      <w:r>
        <w:rPr>
          <w:color w:val="000000"/>
          <w:sz w:val="28"/>
          <w:szCs w:val="28"/>
        </w:rPr>
        <w:t>Основними результатами, яких планується досягти, є стовідсоткове охоплення дітей повною загальною середньою освітою; збільшення відсотка охоплення дітей дошкільною та позашкільною освітою; суттєве поліпшення матеріально-технічної бази галузі.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600"/>
        <w:jc w:val="both"/>
      </w:pPr>
      <w:r>
        <w:rPr>
          <w:color w:val="000000"/>
          <w:sz w:val="28"/>
          <w:szCs w:val="28"/>
        </w:rPr>
        <w:t>Реалізація освітніх послуг буде здійснюватися через існуючу мережу освітніх закладів, яка включає 14 закладів дошкільної освіти, 12 установ загальної середньої освіти, 2 установи позашкільної освіти. </w:t>
      </w:r>
    </w:p>
    <w:p w:rsidR="002C3C9D" w:rsidRDefault="002C3C9D" w:rsidP="002C3C9D">
      <w:pPr>
        <w:pStyle w:val="2"/>
        <w:spacing w:before="2"/>
        <w:ind w:left="5234" w:right="258"/>
        <w:jc w:val="both"/>
      </w:pPr>
      <w:r>
        <w:t> </w:t>
      </w:r>
    </w:p>
    <w:p w:rsidR="002C3C9D" w:rsidRDefault="002C3C9D" w:rsidP="002C3C9D">
      <w:pPr>
        <w:pStyle w:val="2"/>
        <w:tabs>
          <w:tab w:val="left" w:pos="9933"/>
        </w:tabs>
        <w:ind w:left="4499" w:right="258"/>
      </w:pPr>
      <w:r>
        <w:rPr>
          <w:color w:val="000000"/>
        </w:rPr>
        <w:tab/>
      </w:r>
    </w:p>
    <w:p w:rsidR="002C3C9D" w:rsidRDefault="002C3C9D" w:rsidP="002C3C9D">
      <w:pPr>
        <w:pStyle w:val="2"/>
        <w:ind w:left="4499" w:right="258"/>
      </w:pPr>
      <w:r>
        <w:rPr>
          <w:color w:val="000000"/>
        </w:rPr>
        <w:t>Охорона здоров’я</w:t>
      </w:r>
    </w:p>
    <w:p w:rsidR="002C3C9D" w:rsidRDefault="002C3C9D" w:rsidP="002C3C9D">
      <w:pPr>
        <w:pStyle w:val="a9"/>
        <w:widowControl w:val="0"/>
        <w:shd w:val="clear" w:color="auto" w:fill="FFFFFF"/>
        <w:spacing w:beforeAutospacing="0" w:afterAutospacing="0"/>
        <w:ind w:left="720" w:right="258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Пріоритетами розвитку є реформування медичної галузі, забезпечення населення високоякісними і доступними медичними </w:t>
      </w:r>
    </w:p>
    <w:p w:rsidR="00806A95" w:rsidRPr="00806A95" w:rsidRDefault="00806A95" w:rsidP="002C3C9D">
      <w:pPr>
        <w:pStyle w:val="a9"/>
        <w:widowControl w:val="0"/>
        <w:shd w:val="clear" w:color="auto" w:fill="FFFFFF"/>
        <w:spacing w:beforeAutospacing="0" w:afterAutospacing="0"/>
        <w:ind w:left="720" w:right="258" w:firstLine="720"/>
        <w:jc w:val="both"/>
        <w:rPr>
          <w:lang w:val="uk-UA"/>
        </w:rPr>
      </w:pPr>
    </w:p>
    <w:p w:rsid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</w:pPr>
      <w:r>
        <w:rPr>
          <w:color w:val="000000"/>
        </w:rPr>
        <w:lastRenderedPageBreak/>
        <w:t>Продовження додатку</w:t>
      </w:r>
    </w:p>
    <w:p w:rsidR="002C3C9D" w:rsidRDefault="002C3C9D" w:rsidP="002C3C9D">
      <w:pPr>
        <w:pStyle w:val="a9"/>
        <w:widowControl w:val="0"/>
        <w:shd w:val="clear" w:color="auto" w:fill="FFFFFF"/>
        <w:spacing w:beforeAutospacing="0" w:afterAutospacing="0"/>
        <w:ind w:left="720" w:right="258" w:hanging="11"/>
        <w:jc w:val="both"/>
      </w:pPr>
      <w:r>
        <w:rPr>
          <w:color w:val="000000"/>
          <w:sz w:val="28"/>
          <w:szCs w:val="28"/>
        </w:rPr>
        <w:t>послугами та створення сприятливих умов життєдіяльності людини, розвиток системи громадського здоров’я.</w:t>
      </w:r>
    </w:p>
    <w:p w:rsidR="002C3C9D" w:rsidRDefault="002C3C9D" w:rsidP="002C3C9D">
      <w:pPr>
        <w:pStyle w:val="a9"/>
        <w:widowControl w:val="0"/>
        <w:shd w:val="clear" w:color="auto" w:fill="FFFFFF"/>
        <w:spacing w:beforeAutospacing="0" w:afterAutospacing="0"/>
        <w:ind w:left="720" w:right="258" w:firstLine="720"/>
        <w:jc w:val="both"/>
      </w:pPr>
      <w:r>
        <w:rPr>
          <w:color w:val="000000"/>
          <w:sz w:val="28"/>
          <w:szCs w:val="28"/>
        </w:rPr>
        <w:t>У 2022-2024 роках передбачається здійснити такі заходи: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rPr>
          <w:color w:val="000000"/>
          <w:sz w:val="28"/>
          <w:szCs w:val="28"/>
        </w:rPr>
        <w:t>дооснащення комунальних некомерційних підприємств сучасним лікувально-діагностичним обладнанням;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rPr>
          <w:color w:val="000000"/>
          <w:sz w:val="28"/>
          <w:szCs w:val="28"/>
        </w:rPr>
        <w:t>проведення поточних і капітальних ремонтів приміщень лікувальних закладів;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rPr>
          <w:color w:val="000000"/>
          <w:sz w:val="28"/>
          <w:szCs w:val="28"/>
        </w:rPr>
        <w:t>забезпечення виконання державних і міських програм, спрямованих на поліпшення показників здоров’я населення, стабілізацію ситуації із серцево-судинними захворюваннями, захворюваннями на туберкульоз, ВІЛ/СНІД, тощо;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rPr>
          <w:color w:val="000000"/>
          <w:sz w:val="28"/>
          <w:szCs w:val="28"/>
        </w:rPr>
        <w:t>відшкодування  лікарських засобів по пільгових рецептах для хворих мешканців;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rPr>
          <w:color w:val="000000"/>
          <w:sz w:val="28"/>
          <w:szCs w:val="28"/>
        </w:rPr>
        <w:t>забезпечення дітей народжених від ВІЛ- інфікованих матерів молочними сумішами;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rPr>
          <w:color w:val="000000"/>
          <w:sz w:val="28"/>
          <w:szCs w:val="28"/>
        </w:rPr>
        <w:t>проведення туберкулінодіагностики населення громади;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rPr>
          <w:color w:val="000000"/>
          <w:sz w:val="28"/>
          <w:szCs w:val="28"/>
        </w:rPr>
        <w:t>проведення гінекологічних досліджень (що не входить в пакет послуг, що фінансуються Національною службою здоров’я);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rPr>
          <w:color w:val="000000"/>
          <w:sz w:val="28"/>
          <w:szCs w:val="28"/>
        </w:rPr>
        <w:t>Основні результати, яких планується досягти: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rPr>
          <w:color w:val="000000"/>
          <w:sz w:val="28"/>
          <w:szCs w:val="28"/>
        </w:rPr>
        <w:t>підвищення доступності і якості медичних послуг;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rPr>
          <w:color w:val="000000"/>
          <w:sz w:val="28"/>
          <w:szCs w:val="28"/>
        </w:rPr>
        <w:t>запровадження нових підходів до організації роботи закладів охорони здоров’я та їх фінансового забезпечення;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rPr>
          <w:color w:val="000000"/>
          <w:sz w:val="28"/>
          <w:szCs w:val="28"/>
        </w:rPr>
        <w:t>створення стимулів для здорового способу життя населення й здорових умов праці;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rPr>
          <w:color w:val="000000"/>
          <w:sz w:val="28"/>
          <w:szCs w:val="28"/>
        </w:rPr>
        <w:t>зниження рівнів загальної захворюваності населення;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09" w:right="258" w:firstLine="851"/>
        <w:jc w:val="both"/>
      </w:pPr>
      <w:r>
        <w:rPr>
          <w:color w:val="000000"/>
          <w:sz w:val="28"/>
          <w:szCs w:val="28"/>
        </w:rPr>
        <w:t>покращення стану здоров’я населення;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09" w:right="258" w:firstLine="851"/>
        <w:jc w:val="both"/>
      </w:pPr>
      <w:r>
        <w:rPr>
          <w:color w:val="000000"/>
          <w:sz w:val="28"/>
          <w:szCs w:val="28"/>
        </w:rPr>
        <w:t>надання закладам охорони здоров’я більшої економічної самостійності, розширення переліку платних послуг, які можуть надаватися закладами, з метою раціонального поєднання і ефективного використання бюджетних ресурсів  у галузі охорони здоров’я.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09" w:right="258" w:firstLine="851"/>
        <w:jc w:val="both"/>
      </w:pPr>
      <w:r>
        <w:t> </w:t>
      </w:r>
    </w:p>
    <w:p w:rsidR="002C3C9D" w:rsidRDefault="002C3C9D" w:rsidP="002C3C9D">
      <w:pPr>
        <w:pStyle w:val="2"/>
        <w:ind w:left="2766" w:right="258"/>
        <w:jc w:val="both"/>
      </w:pPr>
      <w:r>
        <w:rPr>
          <w:color w:val="000000"/>
        </w:rPr>
        <w:t>Соціальний захист та соціальне забезпечення</w:t>
      </w:r>
    </w:p>
    <w:p w:rsidR="002C3C9D" w:rsidRDefault="002C3C9D" w:rsidP="002C3C9D">
      <w:pPr>
        <w:pStyle w:val="2"/>
        <w:ind w:left="2766" w:right="258"/>
        <w:jc w:val="both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rPr>
          <w:color w:val="000000"/>
          <w:sz w:val="28"/>
          <w:szCs w:val="28"/>
        </w:rPr>
        <w:t xml:space="preserve">Основними цілями реалізації державної політики у сфері </w:t>
      </w:r>
      <w:r>
        <w:rPr>
          <w:b/>
          <w:bCs/>
          <w:color w:val="000000"/>
          <w:sz w:val="28"/>
          <w:szCs w:val="28"/>
        </w:rPr>
        <w:t>соціального захисту та соціального забезпечення</w:t>
      </w:r>
      <w:r>
        <w:rPr>
          <w:color w:val="000000"/>
          <w:sz w:val="28"/>
          <w:szCs w:val="28"/>
        </w:rPr>
        <w:t xml:space="preserve"> на 2022-2024 роки є посилення адресної соціальної підтримки для підвищення ефективності використання бюджетних коштів та їх спрямування соціально вразливим верствам населення. </w:t>
      </w:r>
    </w:p>
    <w:p w:rsidR="002C3C9D" w:rsidRDefault="002C3C9D" w:rsidP="002C3C9D">
      <w:pPr>
        <w:pStyle w:val="a9"/>
        <w:tabs>
          <w:tab w:val="left" w:pos="1213"/>
          <w:tab w:val="left" w:pos="2699"/>
          <w:tab w:val="left" w:pos="4194"/>
          <w:tab w:val="left" w:pos="5705"/>
          <w:tab w:val="left" w:pos="7505"/>
          <w:tab w:val="left" w:pos="9357"/>
          <w:tab w:val="left" w:pos="9782"/>
        </w:tabs>
        <w:spacing w:before="0" w:beforeAutospacing="0" w:after="0" w:afterAutospacing="0"/>
        <w:ind w:left="709" w:right="113"/>
        <w:jc w:val="both"/>
      </w:pPr>
      <w:r>
        <w:rPr>
          <w:rFonts w:ascii="Calibri" w:hAnsi="Calibri"/>
          <w:color w:val="000000"/>
          <w:sz w:val="28"/>
          <w:szCs w:val="28"/>
        </w:rPr>
        <w:tab/>
        <w:t xml:space="preserve">        </w:t>
      </w:r>
      <w:r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ab/>
        <w:t xml:space="preserve">рахунок </w:t>
      </w:r>
      <w:r>
        <w:rPr>
          <w:color w:val="000000"/>
          <w:sz w:val="28"/>
          <w:szCs w:val="28"/>
        </w:rPr>
        <w:tab/>
        <w:t xml:space="preserve">коштів </w:t>
      </w:r>
      <w:r>
        <w:rPr>
          <w:color w:val="000000"/>
          <w:sz w:val="28"/>
          <w:szCs w:val="28"/>
        </w:rPr>
        <w:tab/>
        <w:t xml:space="preserve">бюджету </w:t>
      </w:r>
      <w:r>
        <w:rPr>
          <w:color w:val="000000"/>
          <w:sz w:val="28"/>
          <w:szCs w:val="28"/>
        </w:rPr>
        <w:tab/>
        <w:t xml:space="preserve">міської </w:t>
      </w:r>
      <w:r>
        <w:rPr>
          <w:color w:val="000000"/>
          <w:sz w:val="28"/>
          <w:szCs w:val="28"/>
        </w:rPr>
        <w:tab/>
        <w:t xml:space="preserve">територіальної </w:t>
      </w:r>
      <w:r>
        <w:rPr>
          <w:color w:val="000000"/>
          <w:sz w:val="28"/>
          <w:szCs w:val="28"/>
        </w:rPr>
        <w:tab/>
        <w:t xml:space="preserve">громади </w:t>
      </w:r>
      <w:r>
        <w:rPr>
          <w:color w:val="000000"/>
          <w:sz w:val="28"/>
          <w:szCs w:val="28"/>
        </w:rPr>
        <w:tab/>
        <w:t xml:space="preserve">у середньостроковому періоді планується утримувати 3 установи соціального захисту (територіальний центр соціального обслуговування одиноких та непрацездатних громадян, центр реабілітації «Барвінок», центр соціальних служб для сім’ї , дітей та молоді). 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Крім того, на 2022 – 2024 роки плануються видатки на реалізацію </w:t>
      </w:r>
    </w:p>
    <w:p w:rsidR="00806A95" w:rsidRPr="00806A95" w:rsidRDefault="00806A95" w:rsidP="002C3C9D">
      <w:pPr>
        <w:pStyle w:val="a9"/>
        <w:spacing w:before="0" w:beforeAutospacing="0" w:after="0" w:afterAutospacing="0"/>
        <w:ind w:left="709" w:right="411" w:firstLine="600"/>
        <w:jc w:val="both"/>
        <w:rPr>
          <w:lang w:val="uk-UA"/>
        </w:rPr>
      </w:pPr>
    </w:p>
    <w:p w:rsid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</w:pPr>
      <w:r>
        <w:rPr>
          <w:color w:val="000000"/>
        </w:rPr>
        <w:lastRenderedPageBreak/>
        <w:t>Продовження додатку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right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/>
        <w:jc w:val="both"/>
      </w:pPr>
      <w:r>
        <w:rPr>
          <w:color w:val="000000"/>
          <w:sz w:val="28"/>
          <w:szCs w:val="28"/>
        </w:rPr>
        <w:t xml:space="preserve">міських програм соціального захисту та соціальної підтримки окремих категорій населення міста. 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/>
        <w:jc w:val="both"/>
      </w:pPr>
      <w:r>
        <w:rPr>
          <w:color w:val="000000"/>
          <w:sz w:val="28"/>
          <w:szCs w:val="28"/>
        </w:rPr>
        <w:t xml:space="preserve">Завданнями на 2022-2024 роки є: </w:t>
      </w:r>
    </w:p>
    <w:p w:rsidR="002C3C9D" w:rsidRDefault="002C3C9D" w:rsidP="002C3C9D">
      <w:pPr>
        <w:pStyle w:val="a9"/>
        <w:tabs>
          <w:tab w:val="left" w:pos="3342"/>
          <w:tab w:val="left" w:pos="5139"/>
          <w:tab w:val="left" w:pos="6235"/>
          <w:tab w:val="left" w:pos="7513"/>
          <w:tab w:val="left" w:pos="9654"/>
        </w:tabs>
        <w:spacing w:before="0" w:beforeAutospacing="0" w:after="0" w:afterAutospacing="0"/>
        <w:ind w:left="709" w:right="411"/>
        <w:jc w:val="both"/>
      </w:pPr>
      <w:r>
        <w:rPr>
          <w:rFonts w:ascii="Calibri" w:hAnsi="Calibri"/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 xml:space="preserve">забезпечення </w:t>
      </w:r>
      <w:r>
        <w:rPr>
          <w:color w:val="000000"/>
          <w:sz w:val="28"/>
          <w:szCs w:val="28"/>
        </w:rPr>
        <w:tab/>
        <w:t xml:space="preserve">максимальної </w:t>
      </w:r>
      <w:r>
        <w:rPr>
          <w:color w:val="000000"/>
          <w:sz w:val="28"/>
          <w:szCs w:val="28"/>
        </w:rPr>
        <w:tab/>
        <w:t xml:space="preserve">адресності </w:t>
      </w:r>
      <w:r>
        <w:rPr>
          <w:color w:val="000000"/>
          <w:sz w:val="28"/>
          <w:szCs w:val="28"/>
        </w:rPr>
        <w:tab/>
        <w:t xml:space="preserve">та </w:t>
      </w:r>
      <w:r>
        <w:rPr>
          <w:color w:val="000000"/>
          <w:sz w:val="28"/>
          <w:szCs w:val="28"/>
        </w:rPr>
        <w:tab/>
        <w:t xml:space="preserve">наближеності </w:t>
      </w:r>
      <w:r>
        <w:rPr>
          <w:color w:val="000000"/>
          <w:sz w:val="28"/>
          <w:szCs w:val="28"/>
        </w:rPr>
        <w:tab/>
        <w:t xml:space="preserve">надання 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hanging="600"/>
        <w:jc w:val="both"/>
      </w:pPr>
      <w:r>
        <w:rPr>
          <w:color w:val="000000"/>
          <w:sz w:val="28"/>
          <w:szCs w:val="28"/>
        </w:rPr>
        <w:t xml:space="preserve">        відповідної соціальної підтримки тим, хто її потребує; прозорість та доступність в отриманні соціальної підтримки; </w:t>
      </w:r>
    </w:p>
    <w:p w:rsidR="002C3C9D" w:rsidRDefault="002C3C9D" w:rsidP="002C3C9D">
      <w:pPr>
        <w:pStyle w:val="a9"/>
        <w:spacing w:before="0" w:beforeAutospacing="0" w:after="0" w:afterAutospacing="0"/>
        <w:ind w:left="1276" w:right="411"/>
        <w:jc w:val="both"/>
      </w:pPr>
      <w:r>
        <w:rPr>
          <w:color w:val="000000"/>
          <w:sz w:val="28"/>
          <w:szCs w:val="28"/>
        </w:rPr>
        <w:t xml:space="preserve">надання соціальної підтримки з урахуванням уніфікованих критеріїв </w:t>
      </w:r>
    </w:p>
    <w:p w:rsidR="002C3C9D" w:rsidRDefault="002C3C9D" w:rsidP="002C3C9D">
      <w:pPr>
        <w:pStyle w:val="a9"/>
        <w:spacing w:before="0" w:beforeAutospacing="0" w:after="2" w:afterAutospacing="0" w:line="266" w:lineRule="auto"/>
        <w:ind w:left="567" w:right="411"/>
        <w:jc w:val="both"/>
      </w:pPr>
      <w:r>
        <w:rPr>
          <w:color w:val="000000"/>
          <w:sz w:val="28"/>
          <w:szCs w:val="28"/>
        </w:rPr>
        <w:t xml:space="preserve"> обрахунку сукупного доходу сім’ї та її фінансово-майнового стану; </w:t>
      </w:r>
    </w:p>
    <w:p w:rsidR="002C3C9D" w:rsidRDefault="002C3C9D" w:rsidP="002C3C9D">
      <w:pPr>
        <w:pStyle w:val="a9"/>
        <w:spacing w:before="0" w:beforeAutospacing="0" w:after="2" w:afterAutospacing="0" w:line="266" w:lineRule="auto"/>
        <w:ind w:left="709" w:right="411" w:firstLine="709"/>
        <w:jc w:val="both"/>
      </w:pPr>
      <w:r>
        <w:rPr>
          <w:color w:val="000000"/>
          <w:sz w:val="28"/>
          <w:szCs w:val="28"/>
        </w:rPr>
        <w:t xml:space="preserve">забезпечення захисту прав дитини, у тому числі шляхом розвитку сімейних та інших форм виховання дітей, наближених до сімейних, забезпечення житлом дітей-сиріт, дітей, позбавлених батьківського піклування, осіб з їх числа;      </w:t>
      </w:r>
    </w:p>
    <w:p w:rsidR="002C3C9D" w:rsidRDefault="002C3C9D" w:rsidP="002C3C9D">
      <w:pPr>
        <w:pStyle w:val="a9"/>
        <w:spacing w:before="0" w:beforeAutospacing="0" w:after="2" w:afterAutospacing="0" w:line="266" w:lineRule="auto"/>
        <w:ind w:left="709" w:right="411" w:firstLine="709"/>
        <w:jc w:val="both"/>
      </w:pPr>
      <w:r>
        <w:rPr>
          <w:color w:val="000000"/>
          <w:sz w:val="28"/>
          <w:szCs w:val="28"/>
        </w:rPr>
        <w:t xml:space="preserve">удосконалення механізму запобігання та протидії домашньому насильству та насильству за ознакою статі в умовах децентралізації з урахуванням міжнародних стандартів. 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/>
        <w:jc w:val="both"/>
      </w:pPr>
      <w:r>
        <w:rPr>
          <w:color w:val="000000"/>
          <w:sz w:val="28"/>
          <w:szCs w:val="28"/>
        </w:rPr>
        <w:t xml:space="preserve">Основні результати, яких планується досягти: 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rPr>
          <w:color w:val="000000"/>
          <w:sz w:val="28"/>
          <w:szCs w:val="28"/>
        </w:rPr>
        <w:t xml:space="preserve">адаптація системи надання соціальних послуг до нових вимог законодавства, спрощення порядку надання соціальних послуг, впровадження нових, сучасних комп’ютерних та Інтернет технологій;  охоплення соціальним захистом максимальної кількості сімей та малозабезпечених громадян, які потребують підтримки місцевої влади; покращення соціального діалогу між громадськими організаціями та владою. 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411" w:firstLine="600"/>
        <w:jc w:val="both"/>
      </w:pPr>
      <w:r>
        <w:t> </w:t>
      </w:r>
    </w:p>
    <w:p w:rsidR="002C3C9D" w:rsidRDefault="002C3C9D" w:rsidP="002C3C9D">
      <w:pPr>
        <w:pStyle w:val="2"/>
        <w:ind w:left="4274" w:right="258"/>
      </w:pPr>
      <w:r>
        <w:rPr>
          <w:color w:val="000000"/>
        </w:rPr>
        <w:t>Культура і мистецтво</w:t>
      </w:r>
    </w:p>
    <w:p w:rsidR="002C3C9D" w:rsidRDefault="002C3C9D" w:rsidP="002C3C9D">
      <w:pPr>
        <w:pStyle w:val="2"/>
        <w:ind w:left="4274" w:right="258"/>
      </w:pPr>
      <w:r>
        <w:t> 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20" w:right="400" w:firstLine="720"/>
        <w:jc w:val="both"/>
      </w:pPr>
      <w:r>
        <w:rPr>
          <w:color w:val="000000"/>
        </w:rPr>
        <w:t> </w:t>
      </w:r>
      <w:r>
        <w:rPr>
          <w:color w:val="000000"/>
          <w:sz w:val="28"/>
          <w:szCs w:val="28"/>
        </w:rPr>
        <w:t>Пріоритетами розвитку галузі є збереження, дослідження, відтворення та примноження духовних та культурних здобутків, удосконалення та утримання культурної інфраструктури галузі, основних культурно-мистецьких закладів та організацій.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t> </w:t>
      </w:r>
    </w:p>
    <w:p w:rsidR="002C3C9D" w:rsidRDefault="002C3C9D" w:rsidP="002C3C9D">
      <w:pPr>
        <w:pStyle w:val="a9"/>
        <w:widowControl w:val="0"/>
        <w:shd w:val="clear" w:color="auto" w:fill="FFFFFF"/>
        <w:tabs>
          <w:tab w:val="left" w:pos="9472"/>
        </w:tabs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У 2022 та 2024 роках передбачається здійснити такі заходи:</w:t>
      </w:r>
      <w:r>
        <w:rPr>
          <w:color w:val="000000"/>
          <w:sz w:val="28"/>
          <w:szCs w:val="28"/>
        </w:rPr>
        <w:tab/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забезпечення поповнення бібліотечного фонду літературою та періодичними виданнями;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проведення культурно-мистецьких заходів,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забезпечення гарантій свободи творчої молоді, підтримка творчих ініціатив, спрямованих на розвиток національної літератури, культури і мистецтва, збагачення національної культурної спадщини.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t> 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Основними результатами, яких планується досягти, є: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реалізація державної політики в культурно-мистецькій сфері;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збереження та модернізація культурно-мистецької інфраструктури;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забезпечення реалізації прав громадян на свободу літературної і художньої творчості;</w:t>
      </w:r>
    </w:p>
    <w:p w:rsidR="00806A95" w:rsidRDefault="00806A95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  <w:rPr>
          <w:color w:val="000000"/>
          <w:lang w:val="uk-UA"/>
        </w:rPr>
      </w:pPr>
    </w:p>
    <w:p w:rsid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</w:pPr>
      <w:r>
        <w:rPr>
          <w:color w:val="000000"/>
        </w:rPr>
        <w:lastRenderedPageBreak/>
        <w:t>Продовження додатку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right"/>
      </w:pPr>
      <w:r>
        <w:t> 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забезпечення проведення державних свят на належному рівні, розвиток самоцінносте культури і мистецтва в усіх їх проявах.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t> 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Реалізація послуг по галузі культура буде здійснюватися через існуючу мережу закладів культури, яка включає: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 xml:space="preserve">2 школи естетичного виховання дітей; 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централізована система бібліотек включає 1 – центральну       бібліотеку та 8 бібліотечних філій;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міський краєзнавчий музей;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3 будинки культури;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2 клуби відпочинку;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парк культури та відпочинку;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rPr>
          <w:color w:val="000000"/>
          <w:sz w:val="28"/>
          <w:szCs w:val="28"/>
        </w:rPr>
        <w:t>централізована бухгалтерія.</w:t>
      </w:r>
    </w:p>
    <w:p w:rsidR="002C3C9D" w:rsidRDefault="002C3C9D" w:rsidP="002C3C9D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</w:pPr>
      <w:r>
        <w:t> </w:t>
      </w:r>
    </w:p>
    <w:p w:rsidR="002C3C9D" w:rsidRDefault="002C3C9D" w:rsidP="002C3C9D">
      <w:pPr>
        <w:pStyle w:val="2"/>
        <w:ind w:left="4038" w:right="400"/>
        <w:jc w:val="both"/>
      </w:pPr>
      <w:r>
        <w:rPr>
          <w:color w:val="000000"/>
        </w:rPr>
        <w:t>Фізична культура і спорт</w:t>
      </w:r>
    </w:p>
    <w:p w:rsidR="002C3C9D" w:rsidRDefault="002C3C9D" w:rsidP="002C3C9D">
      <w:pPr>
        <w:pStyle w:val="2"/>
        <w:ind w:left="4038" w:right="400"/>
        <w:jc w:val="both"/>
      </w:pPr>
      <w:r>
        <w:t> 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Пріоритетами розвитку галузі є залучення до здорового способу життя усіх категорій населення, шляхом нових форм занять фізичною культурою і спортом, формування в молоді потреби у зміцненні здоров’я засобами фізичної культури і спорту, участь спортсменів в обласних та всеукраїнських змаганнях.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1429" w:right="403" w:firstLine="11"/>
        <w:jc w:val="both"/>
      </w:pPr>
      <w:r>
        <w:rPr>
          <w:color w:val="000000"/>
          <w:sz w:val="28"/>
          <w:szCs w:val="28"/>
        </w:rPr>
        <w:t>У 2022-2024 роках передбачається здійснити такі заходи: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20" w:right="403" w:firstLine="720"/>
        <w:jc w:val="both"/>
      </w:pPr>
      <w:r>
        <w:rPr>
          <w:color w:val="000000"/>
          <w:sz w:val="28"/>
          <w:szCs w:val="28"/>
        </w:rPr>
        <w:t> розширення можливостей та активізація участі молоді в життєдіяльності територіальної громади міста і сіл;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20" w:right="403" w:firstLine="720"/>
        <w:jc w:val="both"/>
      </w:pPr>
      <w:r>
        <w:rPr>
          <w:color w:val="000000"/>
          <w:sz w:val="28"/>
          <w:szCs w:val="28"/>
        </w:rPr>
        <w:t>активне просування, всебічна підтримка та захист традиційних сімейних цінностей;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20" w:right="403" w:firstLine="720"/>
        <w:jc w:val="both"/>
      </w:pPr>
      <w:r>
        <w:rPr>
          <w:color w:val="000000"/>
          <w:sz w:val="28"/>
          <w:szCs w:val="28"/>
        </w:rPr>
        <w:t>формування гендерної культури та усунення гендерних стереотипів у суспільстві;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20" w:right="403" w:firstLine="720"/>
        <w:jc w:val="both"/>
      </w:pPr>
      <w:r>
        <w:rPr>
          <w:color w:val="000000"/>
          <w:sz w:val="28"/>
          <w:szCs w:val="28"/>
        </w:rPr>
        <w:t>удосконалення механізму запобігання та протидії насильству в сім’ї, формування громадського неприйняття будь-яких форм насильства;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20" w:right="403" w:firstLine="720"/>
        <w:jc w:val="both"/>
      </w:pPr>
      <w:r>
        <w:rPr>
          <w:color w:val="000000"/>
          <w:sz w:val="28"/>
          <w:szCs w:val="28"/>
        </w:rPr>
        <w:t>пропаганда здорового способу життя, популяризація спорту в місті;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20" w:right="403" w:firstLine="720"/>
        <w:jc w:val="both"/>
      </w:pPr>
      <w:r>
        <w:rPr>
          <w:color w:val="000000"/>
          <w:sz w:val="28"/>
          <w:szCs w:val="28"/>
        </w:rPr>
        <w:t>створення нової моделі мотивації учнів до занять фізичної культури та спорту;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20" w:right="403" w:firstLine="720"/>
        <w:jc w:val="both"/>
      </w:pPr>
      <w:r>
        <w:rPr>
          <w:color w:val="000000"/>
          <w:sz w:val="28"/>
          <w:szCs w:val="28"/>
        </w:rPr>
        <w:t>удосконалення системи підготовки спортсменів з інноваційними підходами;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20" w:right="403" w:firstLine="720"/>
        <w:jc w:val="both"/>
      </w:pPr>
      <w:r>
        <w:rPr>
          <w:color w:val="000000"/>
          <w:sz w:val="28"/>
          <w:szCs w:val="28"/>
        </w:rPr>
        <w:t>покращення показників фізичної підготовки вихованців спортивної школи.  </w:t>
      </w:r>
    </w:p>
    <w:p w:rsidR="002C3C9D" w:rsidRDefault="002C3C9D" w:rsidP="002C3C9D">
      <w:pPr>
        <w:pStyle w:val="a9"/>
        <w:widowControl w:val="0"/>
        <w:shd w:val="clear" w:color="auto" w:fill="FFFFFF"/>
        <w:spacing w:before="0" w:beforeAutospacing="0" w:after="0" w:afterAutospacing="0"/>
        <w:ind w:left="720" w:right="403" w:firstLine="720"/>
        <w:jc w:val="both"/>
      </w:pPr>
      <w:r>
        <w:t> </w:t>
      </w:r>
    </w:p>
    <w:p w:rsidR="002C3C9D" w:rsidRDefault="002C3C9D" w:rsidP="002C3C9D">
      <w:pPr>
        <w:pStyle w:val="2"/>
        <w:spacing w:before="2"/>
        <w:ind w:left="3390" w:right="400"/>
        <w:jc w:val="both"/>
      </w:pPr>
      <w:r>
        <w:rPr>
          <w:color w:val="000000"/>
        </w:rPr>
        <w:t>Житлово-комунальне господарство</w:t>
      </w:r>
    </w:p>
    <w:p w:rsidR="002C3C9D" w:rsidRDefault="002C3C9D" w:rsidP="002C3C9D">
      <w:pPr>
        <w:pStyle w:val="2"/>
        <w:spacing w:before="2"/>
        <w:ind w:left="3390" w:right="400"/>
        <w:jc w:val="both"/>
      </w:pPr>
      <w:r>
        <w:t> 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</w:rPr>
        <w:t xml:space="preserve">  </w:t>
      </w:r>
      <w:r>
        <w:rPr>
          <w:color w:val="000000"/>
          <w:sz w:val="28"/>
          <w:szCs w:val="28"/>
        </w:rPr>
        <w:t>Реформування житлово-комунального господарства спрямовуватиметься на підвищення якості житлово-комунальних послуг для всіх верств населення та утримання в належному стані: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1429" w:right="400" w:firstLine="11"/>
        <w:jc w:val="both"/>
      </w:pPr>
      <w:r>
        <w:rPr>
          <w:color w:val="000000"/>
          <w:sz w:val="28"/>
          <w:szCs w:val="28"/>
        </w:rPr>
        <w:t>об’єктів транспортної інфраструктури;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1418" w:right="400" w:firstLine="1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водопровідно-каналізаційних мереж;</w:t>
      </w:r>
    </w:p>
    <w:p w:rsidR="00806A95" w:rsidRPr="00806A95" w:rsidRDefault="00806A95" w:rsidP="002C3C9D">
      <w:pPr>
        <w:pStyle w:val="a9"/>
        <w:widowControl w:val="0"/>
        <w:spacing w:before="0" w:beforeAutospacing="0" w:after="0" w:afterAutospacing="0"/>
        <w:ind w:left="1418" w:right="400" w:firstLine="11"/>
        <w:jc w:val="both"/>
        <w:rPr>
          <w:lang w:val="uk-UA"/>
        </w:rPr>
      </w:pPr>
    </w:p>
    <w:p w:rsid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</w:pPr>
      <w:r>
        <w:rPr>
          <w:color w:val="000000"/>
        </w:rPr>
        <w:lastRenderedPageBreak/>
        <w:t>Продовження додатку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1418" w:right="400" w:firstLine="11"/>
        <w:jc w:val="right"/>
      </w:pPr>
      <w:r>
        <w:t> 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698"/>
        <w:jc w:val="both"/>
      </w:pPr>
      <w:r>
        <w:rPr>
          <w:color w:val="000000"/>
          <w:sz w:val="28"/>
          <w:szCs w:val="28"/>
        </w:rPr>
        <w:t> створення умов щодо захисту і відновлення сприятливого для життєдіяльності людини довкілля;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698"/>
        <w:jc w:val="both"/>
      </w:pPr>
      <w:r>
        <w:rPr>
          <w:color w:val="000000"/>
          <w:sz w:val="28"/>
          <w:szCs w:val="28"/>
        </w:rPr>
        <w:t>підвищення рівня впровадження енергоефективних заходів житлового фонду;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створення оптимальних умов для праці, побуту та відпочинку мешканців міста.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Пріоритетними завданнями є: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утримання в належному санітарному стані територій міста;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забезпечення якісного зовнішнього освітлення вулиць;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забезпечення населення якісною питною водою;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комплексний благоустрій території міста;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забезпечення якості та безпеки дорожнього руху;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покращення умов проживання мешканців багатоквартирних будинків.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t> 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У 2022-2024 роках передбачається здійснити такі зах-оди: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покращення технічного стану водогонів та свердловин;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проведення капітального та поточного ремонту доріг, утримання їх в належному стані;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впровадити альтернативні джерела опалення в установах і закладах         соціально – культурної сфери;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озеленення населених пунктів та утримання зелених насаджень;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утримання в належному санітарно-технічному стані об’єктів та елементів благоустрою.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Основними результатами, яких планується досягти, є: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покращення технічного стану житлового фонду;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покращення благоустрою міста;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поліпшення стану автомобільних доріг;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забезпечення населення житлово-комунальними послугами високого рівня і якості відповідно до вимог національних стандартів;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720" w:right="400" w:firstLine="720"/>
        <w:jc w:val="both"/>
      </w:pPr>
      <w:r>
        <w:rPr>
          <w:color w:val="000000"/>
          <w:sz w:val="28"/>
          <w:szCs w:val="28"/>
        </w:rPr>
        <w:t>створення сприятливих умов для залучення інвестицій у сферу житлово-комунального господарства, у тому числі за рахунок залучення грантів;</w:t>
      </w:r>
    </w:p>
    <w:p w:rsidR="002C3C9D" w:rsidRDefault="002C3C9D" w:rsidP="002C3C9D">
      <w:pPr>
        <w:pStyle w:val="a9"/>
        <w:widowControl w:val="0"/>
        <w:spacing w:before="120" w:beforeAutospacing="0" w:after="0" w:afterAutospacing="0"/>
        <w:ind w:left="589" w:right="269" w:firstLine="851"/>
        <w:jc w:val="both"/>
      </w:pPr>
      <w:r>
        <w:rPr>
          <w:color w:val="000000"/>
          <w:sz w:val="28"/>
          <w:szCs w:val="28"/>
        </w:rPr>
        <w:t>зменшення витрат енергоресурсів;</w:t>
      </w:r>
    </w:p>
    <w:p w:rsidR="002C3C9D" w:rsidRDefault="002C3C9D" w:rsidP="002C3C9D">
      <w:pPr>
        <w:pStyle w:val="a9"/>
        <w:widowControl w:val="0"/>
        <w:spacing w:before="0" w:beforeAutospacing="0" w:after="0" w:afterAutospacing="0"/>
        <w:ind w:left="589" w:right="269" w:firstLine="851"/>
        <w:jc w:val="both"/>
      </w:pPr>
      <w:r>
        <w:rPr>
          <w:color w:val="000000"/>
          <w:sz w:val="28"/>
          <w:szCs w:val="28"/>
        </w:rPr>
        <w:t>безпечне існування безпритульних тварин;</w:t>
      </w:r>
    </w:p>
    <w:p w:rsidR="002C3C9D" w:rsidRDefault="002C3C9D" w:rsidP="002C3C9D">
      <w:pPr>
        <w:pStyle w:val="a9"/>
        <w:numPr>
          <w:ilvl w:val="0"/>
          <w:numId w:val="21"/>
        </w:numPr>
        <w:tabs>
          <w:tab w:val="clear" w:pos="720"/>
          <w:tab w:val="left" w:pos="1417"/>
        </w:tabs>
        <w:spacing w:before="0" w:beforeAutospacing="0" w:after="0" w:afterAutospacing="0"/>
        <w:ind w:left="2137" w:right="269" w:hanging="154"/>
        <w:jc w:val="both"/>
      </w:pPr>
      <w:r>
        <w:rPr>
          <w:color w:val="000000"/>
          <w:sz w:val="28"/>
          <w:szCs w:val="28"/>
        </w:rPr>
        <w:t>забезпечення утримання в належному стані міських доріг;</w:t>
      </w:r>
    </w:p>
    <w:p w:rsidR="002C3C9D" w:rsidRDefault="002C3C9D" w:rsidP="002C3C9D">
      <w:pPr>
        <w:pStyle w:val="a9"/>
        <w:numPr>
          <w:ilvl w:val="0"/>
          <w:numId w:val="21"/>
        </w:numPr>
        <w:tabs>
          <w:tab w:val="clear" w:pos="720"/>
          <w:tab w:val="left" w:pos="1417"/>
        </w:tabs>
        <w:spacing w:before="0" w:beforeAutospacing="0" w:after="0" w:afterAutospacing="0"/>
        <w:ind w:left="2137" w:hanging="154"/>
        <w:jc w:val="both"/>
      </w:pPr>
      <w:r>
        <w:rPr>
          <w:color w:val="000000"/>
          <w:sz w:val="28"/>
          <w:szCs w:val="28"/>
        </w:rPr>
        <w:t>утримання в належному стані території міста;</w:t>
      </w:r>
    </w:p>
    <w:p w:rsidR="002C3C9D" w:rsidRDefault="002C3C9D" w:rsidP="002C3C9D">
      <w:pPr>
        <w:pStyle w:val="a9"/>
        <w:numPr>
          <w:ilvl w:val="0"/>
          <w:numId w:val="21"/>
        </w:numPr>
        <w:tabs>
          <w:tab w:val="clear" w:pos="720"/>
          <w:tab w:val="left" w:pos="1417"/>
        </w:tabs>
        <w:spacing w:before="0" w:beforeAutospacing="0" w:after="0" w:afterAutospacing="0"/>
        <w:ind w:left="1416" w:right="279" w:firstLine="566"/>
        <w:jc w:val="both"/>
      </w:pPr>
      <w:r>
        <w:rPr>
          <w:color w:val="000000"/>
          <w:sz w:val="28"/>
          <w:szCs w:val="28"/>
        </w:rPr>
        <w:t>збереження та утримання на належному рівні зелених зон міста, кладовищ, світлофорних об’єктів, зони відпочинку, прибережної смуги, міських фонтанів;</w:t>
      </w:r>
    </w:p>
    <w:p w:rsidR="002C3C9D" w:rsidRDefault="002C3C9D" w:rsidP="002C3C9D">
      <w:pPr>
        <w:pStyle w:val="a9"/>
        <w:numPr>
          <w:ilvl w:val="0"/>
          <w:numId w:val="21"/>
        </w:numPr>
        <w:tabs>
          <w:tab w:val="clear" w:pos="720"/>
          <w:tab w:val="left" w:pos="1417"/>
        </w:tabs>
        <w:spacing w:before="0" w:beforeAutospacing="0" w:after="0" w:afterAutospacing="0"/>
        <w:ind w:left="2137" w:hanging="154"/>
        <w:jc w:val="both"/>
      </w:pPr>
      <w:r>
        <w:rPr>
          <w:color w:val="000000"/>
          <w:sz w:val="28"/>
          <w:szCs w:val="28"/>
        </w:rPr>
        <w:t>забезпечення функціонування системи вуличного освітлення.</w:t>
      </w:r>
    </w:p>
    <w:p w:rsidR="002C3C9D" w:rsidRDefault="002C3C9D" w:rsidP="002C3C9D">
      <w:pPr>
        <w:pStyle w:val="a9"/>
        <w:tabs>
          <w:tab w:val="left" w:pos="1417"/>
        </w:tabs>
        <w:spacing w:before="0" w:beforeAutospacing="0" w:after="0" w:afterAutospacing="0"/>
        <w:ind w:left="1417"/>
        <w:jc w:val="both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75" w:firstLine="566"/>
        <w:jc w:val="both"/>
      </w:pPr>
      <w:r>
        <w:rPr>
          <w:color w:val="000000"/>
          <w:sz w:val="28"/>
          <w:szCs w:val="28"/>
        </w:rPr>
        <w:t>Граничні показники видатків Смілянської міської територіальної громади та надання кредитів з бюджету головним розпорядникам бюджетних коштів наведено в додатку 6 до цього прогнозу.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75" w:firstLine="566"/>
        <w:jc w:val="both"/>
      </w:pPr>
      <w:r>
        <w:lastRenderedPageBreak/>
        <w:t> </w:t>
      </w:r>
    </w:p>
    <w:p w:rsid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</w:pPr>
      <w:r>
        <w:rPr>
          <w:color w:val="000000"/>
        </w:rPr>
        <w:t>Продовження додатку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75" w:firstLine="566"/>
        <w:jc w:val="right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72" w:firstLine="566"/>
        <w:jc w:val="both"/>
      </w:pPr>
      <w:r>
        <w:rPr>
          <w:color w:val="000000"/>
          <w:sz w:val="28"/>
          <w:szCs w:val="28"/>
        </w:rPr>
        <w:t>Граничні показники видатків бюджету Смілянської міської територіальної громади за Типовою програмною класифікацією видатків та кредитування бюджету наведено в додатку 7 до цього прогнозу.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72" w:firstLine="566"/>
        <w:jc w:val="both"/>
      </w:pPr>
      <w:r>
        <w:t> </w:t>
      </w:r>
    </w:p>
    <w:p w:rsidR="002C3C9D" w:rsidRDefault="002C3C9D" w:rsidP="002C3C9D">
      <w:pPr>
        <w:pStyle w:val="2"/>
        <w:ind w:left="4158"/>
      </w:pPr>
      <w:r>
        <w:rPr>
          <w:color w:val="000000"/>
        </w:rPr>
        <w:t>Кредитування бюджету</w:t>
      </w:r>
    </w:p>
    <w:p w:rsidR="002C3C9D" w:rsidRDefault="002C3C9D" w:rsidP="002C3C9D">
      <w:pPr>
        <w:pStyle w:val="2"/>
        <w:ind w:left="4158"/>
      </w:pPr>
      <w:r>
        <w:t> </w:t>
      </w:r>
    </w:p>
    <w:p w:rsidR="002C3C9D" w:rsidRDefault="002C3C9D" w:rsidP="002C3C9D">
      <w:pPr>
        <w:pStyle w:val="a9"/>
        <w:spacing w:before="1" w:beforeAutospacing="0" w:after="0" w:afterAutospacing="0"/>
        <w:ind w:left="696" w:right="270" w:firstLine="566"/>
        <w:jc w:val="both"/>
      </w:pPr>
      <w:r>
        <w:rPr>
          <w:color w:val="000000"/>
          <w:sz w:val="28"/>
          <w:szCs w:val="28"/>
        </w:rPr>
        <w:t xml:space="preserve">Надання кредитів прогнозується із загального фонду бюджету Смілянської міської територіальної громади, за рахунок повернення попереднього наданих бюджетних позик комунальним підприємствам, на 2022 рік в сумі 9 238,7 тис. грн., 2023 рік в сумі  9 238,7 тис грн., 2024 рік - 9 238,7 тис грн. </w:t>
      </w:r>
    </w:p>
    <w:p w:rsidR="002C3C9D" w:rsidRDefault="002C3C9D" w:rsidP="002C3C9D">
      <w:pPr>
        <w:pStyle w:val="a9"/>
        <w:spacing w:before="1" w:beforeAutospacing="0" w:after="0" w:afterAutospacing="0"/>
        <w:ind w:left="696" w:right="270" w:firstLine="566"/>
        <w:jc w:val="both"/>
      </w:pPr>
      <w:r>
        <w:rPr>
          <w:color w:val="000000"/>
          <w:sz w:val="28"/>
          <w:szCs w:val="28"/>
        </w:rPr>
        <w:t>Повернення кредитів прогнозується на 2022 рік в сумі - 9 238,7 тис. грн.; 2023 рік в сумі - 9 238,7 тис грн.; 2024 рік - 9 238,7 тис грн.</w:t>
      </w:r>
    </w:p>
    <w:p w:rsidR="002C3C9D" w:rsidRDefault="002C3C9D" w:rsidP="002C3C9D">
      <w:pPr>
        <w:pStyle w:val="a9"/>
        <w:spacing w:before="1" w:beforeAutospacing="0" w:after="0" w:afterAutospacing="0"/>
        <w:ind w:left="696" w:right="270" w:firstLine="566"/>
        <w:jc w:val="both"/>
      </w:pPr>
      <w:r>
        <w:t> </w:t>
      </w:r>
    </w:p>
    <w:p w:rsidR="002C3C9D" w:rsidRDefault="002C3C9D" w:rsidP="002C3C9D">
      <w:pPr>
        <w:pStyle w:val="2"/>
        <w:ind w:left="4259"/>
      </w:pPr>
      <w:r>
        <w:rPr>
          <w:color w:val="000000"/>
        </w:rPr>
        <w:t>VІІ. Бюджет розвитку</w:t>
      </w:r>
    </w:p>
    <w:p w:rsidR="002C3C9D" w:rsidRDefault="002C3C9D" w:rsidP="002C3C9D">
      <w:pPr>
        <w:pStyle w:val="2"/>
        <w:ind w:left="425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720" w:right="258" w:firstLine="555"/>
        <w:jc w:val="both"/>
      </w:pPr>
      <w:r>
        <w:rPr>
          <w:color w:val="000000"/>
          <w:sz w:val="28"/>
          <w:szCs w:val="28"/>
        </w:rPr>
        <w:t xml:space="preserve">Обсяги капітальних вкладень у розрізі інвестиційних проєктів та показники бюджету розвитку за основними видами надходжень та орієнтовними обсягами витрат у середньостроковому періоді наведені у додатках 9, 10. 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566"/>
        <w:jc w:val="both"/>
      </w:pPr>
      <w:r>
        <w:rPr>
          <w:color w:val="000000"/>
          <w:sz w:val="28"/>
          <w:szCs w:val="28"/>
        </w:rPr>
        <w:t xml:space="preserve">Упродовж середньострокового періоду планується продовжити комплекс робіт, спрямованих на розв’язання актуальних проблем соціально-економічного розвитку міста Сміли у галузях освіти, охорони здоров’я, житлово - комунального господарства та регіонального розвитку, а також забезпечити погашення місцевого боргу. </w:t>
      </w:r>
    </w:p>
    <w:p w:rsidR="002C3C9D" w:rsidRDefault="002C3C9D" w:rsidP="002C3C9D">
      <w:pPr>
        <w:pStyle w:val="a9"/>
        <w:spacing w:before="0" w:beforeAutospacing="0" w:after="0" w:afterAutospacing="0"/>
        <w:ind w:left="709" w:firstLine="567"/>
        <w:jc w:val="both"/>
      </w:pPr>
      <w:r>
        <w:rPr>
          <w:color w:val="000000"/>
          <w:sz w:val="28"/>
          <w:szCs w:val="28"/>
        </w:rPr>
        <w:t>Джерелами реалізації інвестиційних проектів у 2022 – 2024 роках залишається передача коштів загального фонду до бюджету розвитку спеціального фонду бюджету міської територіальної громади, а також  кошти від відчуження майна, що належить Автономній Республіці Крим та майна, що перебуває в комунальній власності; надходження коштів від продажу землі.</w:t>
      </w:r>
    </w:p>
    <w:p w:rsidR="002C3C9D" w:rsidRDefault="002C3C9D" w:rsidP="002C3C9D">
      <w:pPr>
        <w:pStyle w:val="a9"/>
        <w:spacing w:before="0" w:beforeAutospacing="0" w:after="2" w:afterAutospacing="0" w:line="266" w:lineRule="auto"/>
        <w:ind w:left="709" w:right="258" w:hanging="709"/>
        <w:jc w:val="both"/>
      </w:pPr>
      <w:r>
        <w:rPr>
          <w:color w:val="000000"/>
          <w:sz w:val="28"/>
          <w:szCs w:val="28"/>
        </w:rPr>
        <w:t> </w:t>
      </w:r>
    </w:p>
    <w:p w:rsidR="002C3C9D" w:rsidRDefault="002C3C9D" w:rsidP="002C3C9D">
      <w:pPr>
        <w:pStyle w:val="a9"/>
        <w:spacing w:before="0" w:beforeAutospacing="0" w:after="120" w:afterAutospacing="0" w:line="256" w:lineRule="auto"/>
        <w:ind w:left="709" w:right="258"/>
        <w:jc w:val="center"/>
      </w:pPr>
      <w:r>
        <w:rPr>
          <w:b/>
          <w:bCs/>
          <w:color w:val="000000"/>
          <w:sz w:val="28"/>
          <w:szCs w:val="28"/>
        </w:rPr>
        <w:t>VІІІ. Взаємовідносини бюджету з іншими бюджетами</w:t>
      </w:r>
    </w:p>
    <w:p w:rsidR="002C3C9D" w:rsidRDefault="002C3C9D" w:rsidP="002C3C9D">
      <w:pPr>
        <w:pStyle w:val="a9"/>
        <w:spacing w:before="11" w:beforeAutospacing="0" w:after="0" w:afterAutospacing="0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696" w:firstLine="566"/>
      </w:pPr>
      <w:r>
        <w:rPr>
          <w:color w:val="000000"/>
          <w:sz w:val="28"/>
          <w:szCs w:val="28"/>
        </w:rPr>
        <w:t>Міжбюджетні трансферти з державного бюджету бюджету Смілянської  міської територіальної громади становлять:</w:t>
      </w:r>
    </w:p>
    <w:p w:rsidR="002C3C9D" w:rsidRDefault="002C3C9D" w:rsidP="002C3C9D">
      <w:pPr>
        <w:pStyle w:val="2"/>
        <w:spacing w:before="1"/>
        <w:ind w:left="2126" w:right="1711"/>
        <w:jc w:val="center"/>
      </w:pPr>
      <w:r>
        <w:t> </w:t>
      </w:r>
    </w:p>
    <w:tbl>
      <w:tblPr>
        <w:tblW w:w="0" w:type="auto"/>
        <w:tblCellSpacing w:w="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794"/>
        <w:gridCol w:w="1366"/>
        <w:gridCol w:w="1506"/>
        <w:gridCol w:w="1506"/>
        <w:gridCol w:w="1506"/>
        <w:gridCol w:w="1501"/>
      </w:tblGrid>
      <w:tr w:rsidR="002C3C9D" w:rsidTr="002C3C9D">
        <w:trPr>
          <w:trHeight w:val="264"/>
          <w:tblCellSpacing w:w="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t> </w:t>
            </w:r>
          </w:p>
          <w:p w:rsidR="002C3C9D" w:rsidRDefault="002C3C9D">
            <w:pPr>
              <w:pStyle w:val="a9"/>
              <w:widowControl w:val="0"/>
              <w:spacing w:before="120" w:beforeAutospacing="0" w:after="0" w:afterAutospacing="0"/>
              <w:ind w:left="589" w:right="400" w:firstLine="851"/>
              <w:jc w:val="both"/>
            </w:pPr>
            <w:r>
              <w:t> 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C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факт 2020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C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план 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C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C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4DFEC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2C3C9D" w:rsidTr="002C3C9D">
        <w:trPr>
          <w:trHeight w:val="276"/>
          <w:tblCellSpacing w:w="0" w:type="dxa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2C3C9D" w:rsidTr="002C3C9D">
        <w:trPr>
          <w:trHeight w:val="624"/>
          <w:tblCellSpacing w:w="0" w:type="dxa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Балаклеївська сільська рада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color w:val="000000"/>
                <w:sz w:val="28"/>
                <w:szCs w:val="28"/>
              </w:rPr>
              <w:t>261343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color w:val="000000"/>
                <w:sz w:val="28"/>
                <w:szCs w:val="28"/>
              </w:rPr>
              <w:t>277024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color w:val="000000"/>
                <w:sz w:val="28"/>
                <w:szCs w:val="28"/>
              </w:rPr>
              <w:t>291431</w:t>
            </w:r>
          </w:p>
        </w:tc>
      </w:tr>
      <w:tr w:rsidR="002C3C9D" w:rsidTr="002C3C9D">
        <w:trPr>
          <w:trHeight w:val="372"/>
          <w:tblCellSpacing w:w="0" w:type="dxa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2C3C9D" w:rsidTr="002C3C9D">
        <w:trPr>
          <w:trHeight w:val="504"/>
          <w:tblCellSpacing w:w="0" w:type="dxa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Березняківська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сільська рада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color w:val="000000"/>
                <w:sz w:val="28"/>
                <w:szCs w:val="28"/>
              </w:rPr>
              <w:t>131940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color w:val="000000"/>
                <w:sz w:val="28"/>
                <w:szCs w:val="28"/>
              </w:rPr>
              <w:t>140866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color w:val="000000"/>
                <w:sz w:val="28"/>
                <w:szCs w:val="28"/>
              </w:rPr>
              <w:t>150084</w:t>
            </w:r>
          </w:p>
        </w:tc>
      </w:tr>
      <w:tr w:rsidR="002C3C9D" w:rsidTr="002C3C9D">
        <w:trPr>
          <w:trHeight w:val="372"/>
          <w:tblCellSpacing w:w="0" w:type="dxa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2C3C9D" w:rsidTr="002C3C9D">
        <w:trPr>
          <w:trHeight w:val="528"/>
          <w:tblCellSpacing w:w="0" w:type="dxa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Тернівська сільська рада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color w:val="000000"/>
                <w:sz w:val="28"/>
                <w:szCs w:val="28"/>
              </w:rPr>
              <w:t>106137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color w:val="000000"/>
                <w:sz w:val="28"/>
                <w:szCs w:val="28"/>
              </w:rPr>
              <w:t>112574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color w:val="000000"/>
                <w:sz w:val="28"/>
                <w:szCs w:val="28"/>
              </w:rPr>
              <w:t>118203</w:t>
            </w:r>
          </w:p>
        </w:tc>
      </w:tr>
      <w:tr w:rsidR="002C3C9D" w:rsidTr="002C3C9D">
        <w:trPr>
          <w:trHeight w:val="468"/>
          <w:tblCellSpacing w:w="0" w:type="dxa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РАЗОМ  41053900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320000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1269320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499420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530464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559718</w:t>
            </w:r>
          </w:p>
        </w:tc>
      </w:tr>
      <w:tr w:rsidR="002C3C9D" w:rsidTr="002C3C9D">
        <w:trPr>
          <w:trHeight w:val="360"/>
          <w:tblCellSpacing w:w="0" w:type="dxa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2C3C9D" w:rsidTr="002C3C9D">
        <w:trPr>
          <w:trHeight w:val="504"/>
          <w:tblCellSpacing w:w="0" w:type="dxa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Освітня субвенція 41033900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91658900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113794100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124191400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136020000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145302000</w:t>
            </w:r>
          </w:p>
        </w:tc>
      </w:tr>
      <w:tr w:rsidR="002C3C9D" w:rsidTr="002C3C9D">
        <w:trPr>
          <w:trHeight w:val="504"/>
          <w:tblCellSpacing w:w="0" w:type="dxa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Базова дотація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7189000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t> </w:t>
            </w:r>
          </w:p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11572400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14656100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14740700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14740700</w:t>
            </w:r>
          </w:p>
        </w:tc>
      </w:tr>
      <w:tr w:rsidR="002C3C9D" w:rsidTr="002C3C9D">
        <w:trPr>
          <w:trHeight w:val="264"/>
          <w:tblCellSpacing w:w="0" w:type="dxa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2C3C9D" w:rsidTr="002C3C9D">
        <w:trPr>
          <w:trHeight w:val="564"/>
          <w:tblCellSpacing w:w="0" w:type="dxa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ВСЬОГО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99167900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126635820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139346920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151291164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3C9D" w:rsidRDefault="002C3C9D">
            <w:pPr>
              <w:pStyle w:val="a9"/>
              <w:widowControl w:val="0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160602418</w:t>
            </w:r>
          </w:p>
        </w:tc>
      </w:tr>
    </w:tbl>
    <w:p w:rsidR="002C3C9D" w:rsidRDefault="002C3C9D" w:rsidP="002C3C9D">
      <w:pPr>
        <w:pStyle w:val="2"/>
        <w:spacing w:before="1"/>
        <w:ind w:left="2126" w:right="1711"/>
        <w:jc w:val="center"/>
      </w:pPr>
      <w:r>
        <w:t> </w:t>
      </w:r>
    </w:p>
    <w:p w:rsidR="002C3C9D" w:rsidRDefault="002C3C9D" w:rsidP="002C3C9D">
      <w:pPr>
        <w:pStyle w:val="2"/>
        <w:spacing w:before="1"/>
        <w:ind w:left="2126" w:right="1711"/>
        <w:jc w:val="center"/>
      </w:pPr>
      <w:r>
        <w:t> </w:t>
      </w:r>
    </w:p>
    <w:p w:rsidR="002C3C9D" w:rsidRDefault="002C3C9D" w:rsidP="002C3C9D">
      <w:pPr>
        <w:pStyle w:val="2"/>
        <w:spacing w:before="1"/>
        <w:ind w:left="2126" w:right="1711"/>
        <w:jc w:val="center"/>
      </w:pPr>
      <w:r>
        <w:rPr>
          <w:color w:val="000000"/>
        </w:rPr>
        <w:t>ІХ. Інші положення та показники прогнозу бюджету</w:t>
      </w:r>
    </w:p>
    <w:p w:rsidR="002C3C9D" w:rsidRDefault="002C3C9D" w:rsidP="002C3C9D">
      <w:pPr>
        <w:pStyle w:val="2"/>
        <w:spacing w:before="1"/>
        <w:ind w:left="2126" w:right="1711"/>
        <w:jc w:val="center"/>
      </w:pPr>
      <w:r>
        <w:t> </w:t>
      </w:r>
    </w:p>
    <w:p w:rsidR="002C3C9D" w:rsidRPr="002C3C9D" w:rsidRDefault="002C3C9D" w:rsidP="002C3C9D">
      <w:pPr>
        <w:pStyle w:val="a9"/>
        <w:spacing w:before="0" w:beforeAutospacing="0" w:after="0" w:afterAutospacing="0"/>
        <w:ind w:left="709" w:right="258" w:firstLine="424"/>
        <w:jc w:val="both"/>
        <w:rPr>
          <w:lang w:val="uk-UA"/>
        </w:rPr>
      </w:pPr>
      <w:r w:rsidRPr="002C3C9D">
        <w:rPr>
          <w:color w:val="000000"/>
          <w:sz w:val="28"/>
          <w:szCs w:val="28"/>
          <w:lang w:val="uk-UA"/>
        </w:rPr>
        <w:t>У прогнозі бюджету Смілянської міської територіальної громади на 2022-</w:t>
      </w:r>
      <w:r>
        <w:rPr>
          <w:color w:val="000000"/>
          <w:sz w:val="28"/>
          <w:szCs w:val="28"/>
        </w:rPr>
        <w:t>  </w:t>
      </w:r>
      <w:r w:rsidRPr="002C3C9D">
        <w:rPr>
          <w:color w:val="000000"/>
          <w:sz w:val="28"/>
          <w:szCs w:val="28"/>
          <w:lang w:val="uk-UA"/>
        </w:rPr>
        <w:t xml:space="preserve"> 2024 роки відсутня інформація для заповнення додатку</w:t>
      </w:r>
      <w:r>
        <w:rPr>
          <w:color w:val="000000"/>
          <w:sz w:val="28"/>
          <w:szCs w:val="28"/>
        </w:rPr>
        <w:t> </w:t>
      </w:r>
      <w:r w:rsidRPr="002C3C9D">
        <w:rPr>
          <w:color w:val="000000"/>
          <w:sz w:val="28"/>
          <w:szCs w:val="28"/>
          <w:lang w:val="uk-UA"/>
        </w:rPr>
        <w:t>4 «Показники</w:t>
      </w:r>
      <w:r>
        <w:rPr>
          <w:color w:val="000000"/>
          <w:sz w:val="28"/>
          <w:szCs w:val="28"/>
        </w:rPr>
        <w:t> </w:t>
      </w:r>
      <w:r w:rsidRPr="002C3C9D">
        <w:rPr>
          <w:color w:val="000000"/>
          <w:sz w:val="28"/>
          <w:szCs w:val="28"/>
          <w:lang w:val="uk-UA"/>
        </w:rPr>
        <w:t xml:space="preserve">місцевого боргу» та додатку 5 «Показники гарантованого територіальною громадою міста боргу і надання місцевих гарантій» </w:t>
      </w:r>
    </w:p>
    <w:p w:rsidR="002C3C9D" w:rsidRDefault="002C3C9D" w:rsidP="002C3C9D">
      <w:pPr>
        <w:pStyle w:val="a9"/>
        <w:spacing w:before="0" w:beforeAutospacing="0" w:after="0" w:afterAutospacing="0"/>
        <w:ind w:left="709" w:right="258" w:firstLine="424"/>
        <w:jc w:val="both"/>
      </w:pPr>
      <w:r>
        <w:rPr>
          <w:color w:val="000000"/>
          <w:sz w:val="28"/>
          <w:szCs w:val="28"/>
        </w:rPr>
        <w:t xml:space="preserve">Конкретні показники обсягів бюджету Смілянської міської територіальної громади на 2022-2024 роки будуть коригуватися залежно від законодавчих змін у податковій політиці, показників соціального та економічного розвитку території та реальних можливостей бюджету на відповідні роки. </w:t>
      </w:r>
    </w:p>
    <w:p w:rsidR="002C3C9D" w:rsidRDefault="002C3C9D" w:rsidP="002C3C9D">
      <w:pPr>
        <w:pStyle w:val="a9"/>
        <w:spacing w:before="0" w:beforeAutospacing="0" w:after="0" w:afterAutospacing="0" w:line="256" w:lineRule="auto"/>
        <w:ind w:left="709" w:right="258" w:firstLine="424"/>
        <w:jc w:val="both"/>
      </w:pPr>
      <w:r>
        <w:rPr>
          <w:color w:val="000000"/>
          <w:sz w:val="28"/>
          <w:szCs w:val="28"/>
        </w:rPr>
        <w:t> </w:t>
      </w:r>
    </w:p>
    <w:p w:rsidR="002C3C9D" w:rsidRDefault="002C3C9D" w:rsidP="002C3C9D">
      <w:pPr>
        <w:pStyle w:val="a9"/>
        <w:spacing w:before="4" w:beforeAutospacing="0" w:after="0" w:afterAutospacing="0"/>
        <w:ind w:left="696" w:right="515" w:firstLine="720"/>
      </w:pPr>
      <w:r>
        <w:rPr>
          <w:color w:val="000000"/>
          <w:sz w:val="28"/>
          <w:szCs w:val="28"/>
        </w:rPr>
        <w:t>В прогнозі бюджету Смілянської міської територіальної громади на       2022-2024 роки наявні наступні додатки:</w:t>
      </w:r>
    </w:p>
    <w:p w:rsidR="002C3C9D" w:rsidRDefault="002C3C9D" w:rsidP="002C3C9D">
      <w:pPr>
        <w:pStyle w:val="a9"/>
        <w:spacing w:before="0" w:beforeAutospacing="0" w:after="0" w:afterAutospacing="0"/>
        <w:ind w:left="1417" w:right="3069"/>
      </w:pPr>
      <w:r>
        <w:rPr>
          <w:color w:val="000000"/>
          <w:sz w:val="28"/>
          <w:szCs w:val="28"/>
        </w:rPr>
        <w:t>додаток 1 «Загальні показники бюджету»; </w:t>
      </w:r>
    </w:p>
    <w:p w:rsidR="002C3C9D" w:rsidRDefault="002C3C9D" w:rsidP="002C3C9D">
      <w:pPr>
        <w:pStyle w:val="a9"/>
        <w:tabs>
          <w:tab w:val="left" w:pos="6946"/>
          <w:tab w:val="left" w:pos="7514"/>
          <w:tab w:val="left" w:pos="7798"/>
        </w:tabs>
        <w:spacing w:before="0" w:beforeAutospacing="0" w:after="0" w:afterAutospacing="0"/>
        <w:ind w:left="1417" w:right="2786"/>
      </w:pPr>
      <w:r>
        <w:rPr>
          <w:color w:val="000000"/>
          <w:sz w:val="28"/>
          <w:szCs w:val="28"/>
        </w:rPr>
        <w:t>додаток 2 «Показники доходів бюджету»;</w:t>
      </w:r>
    </w:p>
    <w:p w:rsidR="002C3C9D" w:rsidRDefault="002C3C9D" w:rsidP="002C3C9D">
      <w:pPr>
        <w:pStyle w:val="a9"/>
        <w:tabs>
          <w:tab w:val="left" w:pos="7514"/>
        </w:tabs>
        <w:spacing w:before="0" w:beforeAutospacing="0" w:after="0" w:afterAutospacing="0"/>
        <w:ind w:left="1417" w:right="2360"/>
      </w:pPr>
      <w:r>
        <w:rPr>
          <w:color w:val="000000"/>
          <w:sz w:val="28"/>
          <w:szCs w:val="28"/>
        </w:rPr>
        <w:t> додаток 3 «Показники фінансування бюджету»; </w:t>
      </w:r>
    </w:p>
    <w:p w:rsidR="002C3C9D" w:rsidRDefault="002C3C9D" w:rsidP="002C3C9D">
      <w:pPr>
        <w:pStyle w:val="a9"/>
        <w:tabs>
          <w:tab w:val="left" w:pos="7514"/>
        </w:tabs>
        <w:spacing w:before="0" w:beforeAutospacing="0" w:after="0" w:afterAutospacing="0"/>
        <w:ind w:left="1417" w:right="2360"/>
      </w:pPr>
      <w:r>
        <w:rPr>
          <w:color w:val="000000"/>
          <w:sz w:val="28"/>
          <w:szCs w:val="28"/>
        </w:rPr>
        <w:t>додаток 4 «Показники місцевого боргу»;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73" w:firstLine="720"/>
        <w:jc w:val="both"/>
      </w:pPr>
      <w:r>
        <w:rPr>
          <w:color w:val="000000"/>
          <w:sz w:val="28"/>
          <w:szCs w:val="28"/>
        </w:rPr>
        <w:t>додаток 5 «Показники гарантованого Автономною Республікою Крим, обласною радою чи територіальною громадою міста боргу і надання місцевих гарантій»;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75" w:firstLine="720"/>
        <w:jc w:val="both"/>
      </w:pPr>
      <w:r>
        <w:rPr>
          <w:color w:val="000000"/>
          <w:sz w:val="28"/>
          <w:szCs w:val="28"/>
        </w:rPr>
        <w:t>додаток 6 «Граничні показники видатків бюджету та надання кредитів з бюджету головним розпорядникам коштів»;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75" w:firstLine="720"/>
        <w:jc w:val="both"/>
      </w:pPr>
      <w:r>
        <w:rPr>
          <w:color w:val="000000"/>
          <w:sz w:val="28"/>
          <w:szCs w:val="28"/>
        </w:rPr>
        <w:t>додаток 7 «Граничні показники видатків бюджету за Типовою програмною класифікацією видатків та кредитування місцевого бюджету»;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68" w:firstLine="720"/>
        <w:jc w:val="both"/>
      </w:pPr>
      <w:r>
        <w:rPr>
          <w:color w:val="000000"/>
          <w:sz w:val="28"/>
          <w:szCs w:val="28"/>
        </w:rPr>
        <w:t>додаток 8 «Граничні показники кредитування бюджету за Типовою програмною класифікацією видатків та кредитування місцевого бюджету»;</w:t>
      </w:r>
    </w:p>
    <w:p w:rsidR="002C3C9D" w:rsidRDefault="002C3C9D" w:rsidP="002C3C9D">
      <w:pPr>
        <w:pStyle w:val="a9"/>
        <w:spacing w:before="0" w:beforeAutospacing="0" w:after="0" w:afterAutospacing="0"/>
        <w:ind w:left="141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додаток 9 «Показники бюджету розвитку»;</w:t>
      </w:r>
    </w:p>
    <w:p w:rsidR="00806A95" w:rsidRPr="00806A95" w:rsidRDefault="00806A95" w:rsidP="002C3C9D">
      <w:pPr>
        <w:pStyle w:val="a9"/>
        <w:spacing w:before="0" w:beforeAutospacing="0" w:after="0" w:afterAutospacing="0"/>
        <w:ind w:left="1417"/>
        <w:jc w:val="both"/>
        <w:rPr>
          <w:lang w:val="uk-UA"/>
        </w:rPr>
      </w:pPr>
    </w:p>
    <w:p w:rsidR="002C3C9D" w:rsidRDefault="002C3C9D" w:rsidP="002C3C9D">
      <w:pPr>
        <w:pStyle w:val="a9"/>
        <w:tabs>
          <w:tab w:val="left" w:pos="1417"/>
        </w:tabs>
        <w:spacing w:before="3" w:beforeAutospacing="0" w:after="0" w:afterAutospacing="0"/>
        <w:ind w:left="1262" w:right="263"/>
        <w:jc w:val="right"/>
      </w:pPr>
      <w:r>
        <w:rPr>
          <w:color w:val="000000"/>
        </w:rPr>
        <w:lastRenderedPageBreak/>
        <w:t>Продовження додатку</w:t>
      </w:r>
    </w:p>
    <w:p w:rsidR="002C3C9D" w:rsidRDefault="002C3C9D" w:rsidP="002C3C9D">
      <w:pPr>
        <w:pStyle w:val="a9"/>
        <w:spacing w:before="0" w:beforeAutospacing="0" w:after="0" w:afterAutospacing="0"/>
        <w:ind w:left="1417"/>
        <w:jc w:val="right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left="696" w:right="272" w:firstLine="720"/>
        <w:jc w:val="both"/>
      </w:pPr>
      <w:r>
        <w:rPr>
          <w:color w:val="000000"/>
          <w:sz w:val="28"/>
          <w:szCs w:val="28"/>
        </w:rPr>
        <w:t>додаток 10 «Обсяги капітальних вкладень місцевого бюджету у розрізі інвестиційних проектів» не подається до прогнозу, у зв’язку з відсутністю показників;</w:t>
      </w:r>
    </w:p>
    <w:p w:rsidR="002C3C9D" w:rsidRDefault="002C3C9D" w:rsidP="002C3C9D">
      <w:pPr>
        <w:pStyle w:val="a9"/>
        <w:spacing w:before="0" w:beforeAutospacing="0" w:after="0" w:afterAutospacing="0"/>
        <w:ind w:left="1417" w:right="274"/>
        <w:jc w:val="both"/>
      </w:pPr>
      <w:r>
        <w:rPr>
          <w:color w:val="000000"/>
          <w:sz w:val="28"/>
          <w:szCs w:val="28"/>
        </w:rPr>
        <w:t>додаток 11 «Показники міжбюджетних трансфертів з інших бюджетів»; </w:t>
      </w:r>
    </w:p>
    <w:p w:rsidR="002C3C9D" w:rsidRDefault="002C3C9D" w:rsidP="002C3C9D">
      <w:pPr>
        <w:pStyle w:val="a9"/>
        <w:spacing w:before="0" w:beforeAutospacing="0" w:after="0" w:afterAutospacing="0"/>
        <w:ind w:left="1417" w:right="274"/>
        <w:jc w:val="both"/>
      </w:pPr>
      <w:r>
        <w:rPr>
          <w:color w:val="000000"/>
          <w:sz w:val="28"/>
          <w:szCs w:val="28"/>
        </w:rPr>
        <w:t>додаток 12 «Показники міжбюджетних трансфертів іншим бюджетам».</w:t>
      </w:r>
    </w:p>
    <w:p w:rsidR="002C3C9D" w:rsidRDefault="002C3C9D" w:rsidP="002C3C9D">
      <w:pPr>
        <w:pStyle w:val="a9"/>
        <w:spacing w:before="0" w:beforeAutospacing="0" w:after="0" w:afterAutospacing="0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Керуючий справами                                                               Оксана ЯЦЕНКО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Юлія ЛЮБЧЕНКО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2C3C9D" w:rsidRDefault="002C3C9D" w:rsidP="002C3C9D">
      <w:pPr>
        <w:pStyle w:val="a9"/>
        <w:spacing w:before="0" w:beforeAutospacing="0" w:after="0" w:afterAutospacing="0"/>
        <w:ind w:firstLine="709"/>
      </w:pPr>
      <w:r>
        <w:t> </w:t>
      </w: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Pr="000C5C05" w:rsidRDefault="00E513AB" w:rsidP="000C5C05">
      <w:pPr>
        <w:pStyle w:val="a3"/>
        <w:ind w:firstLine="709"/>
      </w:pPr>
    </w:p>
    <w:sectPr w:rsidR="00E513AB" w:rsidRPr="000C5C05" w:rsidSect="00724AF0">
      <w:pgSz w:w="11910" w:h="16840"/>
      <w:pgMar w:top="1040" w:right="740" w:bottom="28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834"/>
    <w:multiLevelType w:val="multilevel"/>
    <w:tmpl w:val="069E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F5F26"/>
    <w:multiLevelType w:val="multilevel"/>
    <w:tmpl w:val="055E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62605"/>
    <w:multiLevelType w:val="hybridMultilevel"/>
    <w:tmpl w:val="D02A7A74"/>
    <w:lvl w:ilvl="0" w:tplc="B55285BA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5A32422"/>
    <w:multiLevelType w:val="hybridMultilevel"/>
    <w:tmpl w:val="AACA8358"/>
    <w:lvl w:ilvl="0" w:tplc="5560A258">
      <w:start w:val="1"/>
      <w:numFmt w:val="decimal"/>
      <w:lvlText w:val="%1."/>
      <w:lvlJc w:val="left"/>
      <w:pPr>
        <w:ind w:left="696" w:hanging="4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8A693A2">
      <w:numFmt w:val="bullet"/>
      <w:lvlText w:val="•"/>
      <w:lvlJc w:val="left"/>
      <w:pPr>
        <w:ind w:left="1718" w:hanging="470"/>
      </w:pPr>
      <w:rPr>
        <w:rFonts w:hint="default"/>
        <w:lang w:val="uk-UA" w:eastAsia="en-US" w:bidi="ar-SA"/>
      </w:rPr>
    </w:lvl>
    <w:lvl w:ilvl="2" w:tplc="24D42AA8">
      <w:numFmt w:val="bullet"/>
      <w:lvlText w:val="•"/>
      <w:lvlJc w:val="left"/>
      <w:pPr>
        <w:ind w:left="2736" w:hanging="470"/>
      </w:pPr>
      <w:rPr>
        <w:rFonts w:hint="default"/>
        <w:lang w:val="uk-UA" w:eastAsia="en-US" w:bidi="ar-SA"/>
      </w:rPr>
    </w:lvl>
    <w:lvl w:ilvl="3" w:tplc="B4B88388">
      <w:numFmt w:val="bullet"/>
      <w:lvlText w:val="•"/>
      <w:lvlJc w:val="left"/>
      <w:pPr>
        <w:ind w:left="3755" w:hanging="470"/>
      </w:pPr>
      <w:rPr>
        <w:rFonts w:hint="default"/>
        <w:lang w:val="uk-UA" w:eastAsia="en-US" w:bidi="ar-SA"/>
      </w:rPr>
    </w:lvl>
    <w:lvl w:ilvl="4" w:tplc="75CEC058">
      <w:numFmt w:val="bullet"/>
      <w:lvlText w:val="•"/>
      <w:lvlJc w:val="left"/>
      <w:pPr>
        <w:ind w:left="4773" w:hanging="470"/>
      </w:pPr>
      <w:rPr>
        <w:rFonts w:hint="default"/>
        <w:lang w:val="uk-UA" w:eastAsia="en-US" w:bidi="ar-SA"/>
      </w:rPr>
    </w:lvl>
    <w:lvl w:ilvl="5" w:tplc="A0DC7FBC">
      <w:numFmt w:val="bullet"/>
      <w:lvlText w:val="•"/>
      <w:lvlJc w:val="left"/>
      <w:pPr>
        <w:ind w:left="5792" w:hanging="470"/>
      </w:pPr>
      <w:rPr>
        <w:rFonts w:hint="default"/>
        <w:lang w:val="uk-UA" w:eastAsia="en-US" w:bidi="ar-SA"/>
      </w:rPr>
    </w:lvl>
    <w:lvl w:ilvl="6" w:tplc="DDB4E172">
      <w:numFmt w:val="bullet"/>
      <w:lvlText w:val="•"/>
      <w:lvlJc w:val="left"/>
      <w:pPr>
        <w:ind w:left="6810" w:hanging="470"/>
      </w:pPr>
      <w:rPr>
        <w:rFonts w:hint="default"/>
        <w:lang w:val="uk-UA" w:eastAsia="en-US" w:bidi="ar-SA"/>
      </w:rPr>
    </w:lvl>
    <w:lvl w:ilvl="7" w:tplc="64B6F7F4">
      <w:numFmt w:val="bullet"/>
      <w:lvlText w:val="•"/>
      <w:lvlJc w:val="left"/>
      <w:pPr>
        <w:ind w:left="7828" w:hanging="470"/>
      </w:pPr>
      <w:rPr>
        <w:rFonts w:hint="default"/>
        <w:lang w:val="uk-UA" w:eastAsia="en-US" w:bidi="ar-SA"/>
      </w:rPr>
    </w:lvl>
    <w:lvl w:ilvl="8" w:tplc="07E2AD3E">
      <w:numFmt w:val="bullet"/>
      <w:lvlText w:val="•"/>
      <w:lvlJc w:val="left"/>
      <w:pPr>
        <w:ind w:left="8847" w:hanging="470"/>
      </w:pPr>
      <w:rPr>
        <w:rFonts w:hint="default"/>
        <w:lang w:val="uk-UA" w:eastAsia="en-US" w:bidi="ar-SA"/>
      </w:rPr>
    </w:lvl>
  </w:abstractNum>
  <w:abstractNum w:abstractNumId="4">
    <w:nsid w:val="296D678A"/>
    <w:multiLevelType w:val="multilevel"/>
    <w:tmpl w:val="E0C0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9510B"/>
    <w:multiLevelType w:val="hybridMultilevel"/>
    <w:tmpl w:val="B240AF82"/>
    <w:lvl w:ilvl="0" w:tplc="E5B29C82">
      <w:start w:val="7"/>
      <w:numFmt w:val="decimal"/>
      <w:lvlText w:val="%1."/>
      <w:lvlJc w:val="left"/>
      <w:pPr>
        <w:ind w:left="1080" w:hanging="360"/>
      </w:pPr>
      <w:rPr>
        <w:b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A64E18"/>
    <w:multiLevelType w:val="multilevel"/>
    <w:tmpl w:val="7078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000F8"/>
    <w:multiLevelType w:val="multilevel"/>
    <w:tmpl w:val="A686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669C0"/>
    <w:multiLevelType w:val="hybridMultilevel"/>
    <w:tmpl w:val="82B6184E"/>
    <w:lvl w:ilvl="0" w:tplc="A88A56D2">
      <w:numFmt w:val="bullet"/>
      <w:lvlText w:val="-"/>
      <w:lvlJc w:val="left"/>
      <w:pPr>
        <w:ind w:left="6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2FEFF94">
      <w:numFmt w:val="bullet"/>
      <w:lvlText w:val="•"/>
      <w:lvlJc w:val="left"/>
      <w:pPr>
        <w:ind w:left="1718" w:hanging="164"/>
      </w:pPr>
      <w:rPr>
        <w:rFonts w:hint="default"/>
        <w:lang w:val="uk-UA" w:eastAsia="en-US" w:bidi="ar-SA"/>
      </w:rPr>
    </w:lvl>
    <w:lvl w:ilvl="2" w:tplc="5FB6278A">
      <w:numFmt w:val="bullet"/>
      <w:lvlText w:val="•"/>
      <w:lvlJc w:val="left"/>
      <w:pPr>
        <w:ind w:left="2736" w:hanging="164"/>
      </w:pPr>
      <w:rPr>
        <w:rFonts w:hint="default"/>
        <w:lang w:val="uk-UA" w:eastAsia="en-US" w:bidi="ar-SA"/>
      </w:rPr>
    </w:lvl>
    <w:lvl w:ilvl="3" w:tplc="1D9C4094">
      <w:numFmt w:val="bullet"/>
      <w:lvlText w:val="•"/>
      <w:lvlJc w:val="left"/>
      <w:pPr>
        <w:ind w:left="3755" w:hanging="164"/>
      </w:pPr>
      <w:rPr>
        <w:rFonts w:hint="default"/>
        <w:lang w:val="uk-UA" w:eastAsia="en-US" w:bidi="ar-SA"/>
      </w:rPr>
    </w:lvl>
    <w:lvl w:ilvl="4" w:tplc="D7243CD2">
      <w:numFmt w:val="bullet"/>
      <w:lvlText w:val="•"/>
      <w:lvlJc w:val="left"/>
      <w:pPr>
        <w:ind w:left="4773" w:hanging="164"/>
      </w:pPr>
      <w:rPr>
        <w:rFonts w:hint="default"/>
        <w:lang w:val="uk-UA" w:eastAsia="en-US" w:bidi="ar-SA"/>
      </w:rPr>
    </w:lvl>
    <w:lvl w:ilvl="5" w:tplc="8DB4ABA4">
      <w:numFmt w:val="bullet"/>
      <w:lvlText w:val="•"/>
      <w:lvlJc w:val="left"/>
      <w:pPr>
        <w:ind w:left="5792" w:hanging="164"/>
      </w:pPr>
      <w:rPr>
        <w:rFonts w:hint="default"/>
        <w:lang w:val="uk-UA" w:eastAsia="en-US" w:bidi="ar-SA"/>
      </w:rPr>
    </w:lvl>
    <w:lvl w:ilvl="6" w:tplc="574A26E2">
      <w:numFmt w:val="bullet"/>
      <w:lvlText w:val="•"/>
      <w:lvlJc w:val="left"/>
      <w:pPr>
        <w:ind w:left="6810" w:hanging="164"/>
      </w:pPr>
      <w:rPr>
        <w:rFonts w:hint="default"/>
        <w:lang w:val="uk-UA" w:eastAsia="en-US" w:bidi="ar-SA"/>
      </w:rPr>
    </w:lvl>
    <w:lvl w:ilvl="7" w:tplc="F9B07BE6">
      <w:numFmt w:val="bullet"/>
      <w:lvlText w:val="•"/>
      <w:lvlJc w:val="left"/>
      <w:pPr>
        <w:ind w:left="7828" w:hanging="164"/>
      </w:pPr>
      <w:rPr>
        <w:rFonts w:hint="default"/>
        <w:lang w:val="uk-UA" w:eastAsia="en-US" w:bidi="ar-SA"/>
      </w:rPr>
    </w:lvl>
    <w:lvl w:ilvl="8" w:tplc="BB2C00E4">
      <w:numFmt w:val="bullet"/>
      <w:lvlText w:val="•"/>
      <w:lvlJc w:val="left"/>
      <w:pPr>
        <w:ind w:left="8847" w:hanging="164"/>
      </w:pPr>
      <w:rPr>
        <w:rFonts w:hint="default"/>
        <w:lang w:val="uk-UA" w:eastAsia="en-US" w:bidi="ar-SA"/>
      </w:rPr>
    </w:lvl>
  </w:abstractNum>
  <w:abstractNum w:abstractNumId="9">
    <w:nsid w:val="453E2712"/>
    <w:multiLevelType w:val="hybridMultilevel"/>
    <w:tmpl w:val="A42A6CD2"/>
    <w:lvl w:ilvl="0" w:tplc="3AA2B72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6AC5D1D"/>
    <w:multiLevelType w:val="hybridMultilevel"/>
    <w:tmpl w:val="F66073B4"/>
    <w:lvl w:ilvl="0" w:tplc="60703BF8">
      <w:numFmt w:val="bullet"/>
      <w:lvlText w:val="-"/>
      <w:lvlJc w:val="left"/>
      <w:pPr>
        <w:ind w:left="696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5C20272">
      <w:numFmt w:val="bullet"/>
      <w:lvlText w:val="•"/>
      <w:lvlJc w:val="left"/>
      <w:pPr>
        <w:ind w:left="1718" w:hanging="207"/>
      </w:pPr>
      <w:rPr>
        <w:rFonts w:hint="default"/>
        <w:lang w:val="uk-UA" w:eastAsia="en-US" w:bidi="ar-SA"/>
      </w:rPr>
    </w:lvl>
    <w:lvl w:ilvl="2" w:tplc="3446A8B6">
      <w:numFmt w:val="bullet"/>
      <w:lvlText w:val="•"/>
      <w:lvlJc w:val="left"/>
      <w:pPr>
        <w:ind w:left="2736" w:hanging="207"/>
      </w:pPr>
      <w:rPr>
        <w:rFonts w:hint="default"/>
        <w:lang w:val="uk-UA" w:eastAsia="en-US" w:bidi="ar-SA"/>
      </w:rPr>
    </w:lvl>
    <w:lvl w:ilvl="3" w:tplc="025E2B2C">
      <w:numFmt w:val="bullet"/>
      <w:lvlText w:val="•"/>
      <w:lvlJc w:val="left"/>
      <w:pPr>
        <w:ind w:left="3755" w:hanging="207"/>
      </w:pPr>
      <w:rPr>
        <w:rFonts w:hint="default"/>
        <w:lang w:val="uk-UA" w:eastAsia="en-US" w:bidi="ar-SA"/>
      </w:rPr>
    </w:lvl>
    <w:lvl w:ilvl="4" w:tplc="A2AC0E7A">
      <w:numFmt w:val="bullet"/>
      <w:lvlText w:val="•"/>
      <w:lvlJc w:val="left"/>
      <w:pPr>
        <w:ind w:left="4773" w:hanging="207"/>
      </w:pPr>
      <w:rPr>
        <w:rFonts w:hint="default"/>
        <w:lang w:val="uk-UA" w:eastAsia="en-US" w:bidi="ar-SA"/>
      </w:rPr>
    </w:lvl>
    <w:lvl w:ilvl="5" w:tplc="AB542642">
      <w:numFmt w:val="bullet"/>
      <w:lvlText w:val="•"/>
      <w:lvlJc w:val="left"/>
      <w:pPr>
        <w:ind w:left="5792" w:hanging="207"/>
      </w:pPr>
      <w:rPr>
        <w:rFonts w:hint="default"/>
        <w:lang w:val="uk-UA" w:eastAsia="en-US" w:bidi="ar-SA"/>
      </w:rPr>
    </w:lvl>
    <w:lvl w:ilvl="6" w:tplc="124E8AAE">
      <w:numFmt w:val="bullet"/>
      <w:lvlText w:val="•"/>
      <w:lvlJc w:val="left"/>
      <w:pPr>
        <w:ind w:left="6810" w:hanging="207"/>
      </w:pPr>
      <w:rPr>
        <w:rFonts w:hint="default"/>
        <w:lang w:val="uk-UA" w:eastAsia="en-US" w:bidi="ar-SA"/>
      </w:rPr>
    </w:lvl>
    <w:lvl w:ilvl="7" w:tplc="9CA00CF6">
      <w:numFmt w:val="bullet"/>
      <w:lvlText w:val="•"/>
      <w:lvlJc w:val="left"/>
      <w:pPr>
        <w:ind w:left="7828" w:hanging="207"/>
      </w:pPr>
      <w:rPr>
        <w:rFonts w:hint="default"/>
        <w:lang w:val="uk-UA" w:eastAsia="en-US" w:bidi="ar-SA"/>
      </w:rPr>
    </w:lvl>
    <w:lvl w:ilvl="8" w:tplc="8EDAA902">
      <w:numFmt w:val="bullet"/>
      <w:lvlText w:val="•"/>
      <w:lvlJc w:val="left"/>
      <w:pPr>
        <w:ind w:left="8847" w:hanging="207"/>
      </w:pPr>
      <w:rPr>
        <w:rFonts w:hint="default"/>
        <w:lang w:val="uk-UA" w:eastAsia="en-US" w:bidi="ar-SA"/>
      </w:rPr>
    </w:lvl>
  </w:abstractNum>
  <w:abstractNum w:abstractNumId="11">
    <w:nsid w:val="5A46035B"/>
    <w:multiLevelType w:val="hybridMultilevel"/>
    <w:tmpl w:val="E20CA1F4"/>
    <w:lvl w:ilvl="0" w:tplc="75664FE4">
      <w:numFmt w:val="bullet"/>
      <w:lvlText w:val="-"/>
      <w:lvlJc w:val="left"/>
      <w:pPr>
        <w:ind w:left="696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86EDEE4">
      <w:numFmt w:val="bullet"/>
      <w:lvlText w:val="•"/>
      <w:lvlJc w:val="left"/>
      <w:pPr>
        <w:ind w:left="1718" w:hanging="154"/>
      </w:pPr>
      <w:rPr>
        <w:rFonts w:hint="default"/>
        <w:lang w:val="uk-UA" w:eastAsia="en-US" w:bidi="ar-SA"/>
      </w:rPr>
    </w:lvl>
    <w:lvl w:ilvl="2" w:tplc="5EF45292">
      <w:numFmt w:val="bullet"/>
      <w:lvlText w:val="•"/>
      <w:lvlJc w:val="left"/>
      <w:pPr>
        <w:ind w:left="2736" w:hanging="154"/>
      </w:pPr>
      <w:rPr>
        <w:rFonts w:hint="default"/>
        <w:lang w:val="uk-UA" w:eastAsia="en-US" w:bidi="ar-SA"/>
      </w:rPr>
    </w:lvl>
    <w:lvl w:ilvl="3" w:tplc="0A0CD028">
      <w:numFmt w:val="bullet"/>
      <w:lvlText w:val="•"/>
      <w:lvlJc w:val="left"/>
      <w:pPr>
        <w:ind w:left="3755" w:hanging="154"/>
      </w:pPr>
      <w:rPr>
        <w:rFonts w:hint="default"/>
        <w:lang w:val="uk-UA" w:eastAsia="en-US" w:bidi="ar-SA"/>
      </w:rPr>
    </w:lvl>
    <w:lvl w:ilvl="4" w:tplc="335CCA0A">
      <w:numFmt w:val="bullet"/>
      <w:lvlText w:val="•"/>
      <w:lvlJc w:val="left"/>
      <w:pPr>
        <w:ind w:left="4773" w:hanging="154"/>
      </w:pPr>
      <w:rPr>
        <w:rFonts w:hint="default"/>
        <w:lang w:val="uk-UA" w:eastAsia="en-US" w:bidi="ar-SA"/>
      </w:rPr>
    </w:lvl>
    <w:lvl w:ilvl="5" w:tplc="86003704">
      <w:numFmt w:val="bullet"/>
      <w:lvlText w:val="•"/>
      <w:lvlJc w:val="left"/>
      <w:pPr>
        <w:ind w:left="5792" w:hanging="154"/>
      </w:pPr>
      <w:rPr>
        <w:rFonts w:hint="default"/>
        <w:lang w:val="uk-UA" w:eastAsia="en-US" w:bidi="ar-SA"/>
      </w:rPr>
    </w:lvl>
    <w:lvl w:ilvl="6" w:tplc="FE50D600">
      <w:numFmt w:val="bullet"/>
      <w:lvlText w:val="•"/>
      <w:lvlJc w:val="left"/>
      <w:pPr>
        <w:ind w:left="6810" w:hanging="154"/>
      </w:pPr>
      <w:rPr>
        <w:rFonts w:hint="default"/>
        <w:lang w:val="uk-UA" w:eastAsia="en-US" w:bidi="ar-SA"/>
      </w:rPr>
    </w:lvl>
    <w:lvl w:ilvl="7" w:tplc="4EA80B80">
      <w:numFmt w:val="bullet"/>
      <w:lvlText w:val="•"/>
      <w:lvlJc w:val="left"/>
      <w:pPr>
        <w:ind w:left="7828" w:hanging="154"/>
      </w:pPr>
      <w:rPr>
        <w:rFonts w:hint="default"/>
        <w:lang w:val="uk-UA" w:eastAsia="en-US" w:bidi="ar-SA"/>
      </w:rPr>
    </w:lvl>
    <w:lvl w:ilvl="8" w:tplc="9D065756">
      <w:numFmt w:val="bullet"/>
      <w:lvlText w:val="•"/>
      <w:lvlJc w:val="left"/>
      <w:pPr>
        <w:ind w:left="8847" w:hanging="154"/>
      </w:pPr>
      <w:rPr>
        <w:rFonts w:hint="default"/>
        <w:lang w:val="uk-UA" w:eastAsia="en-US" w:bidi="ar-SA"/>
      </w:rPr>
    </w:lvl>
  </w:abstractNum>
  <w:abstractNum w:abstractNumId="12">
    <w:nsid w:val="5FA205D6"/>
    <w:multiLevelType w:val="multilevel"/>
    <w:tmpl w:val="414A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4E649C"/>
    <w:multiLevelType w:val="hybridMultilevel"/>
    <w:tmpl w:val="2244F8DA"/>
    <w:lvl w:ilvl="0" w:tplc="268E63C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7C71B1B"/>
    <w:multiLevelType w:val="multilevel"/>
    <w:tmpl w:val="31BC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73EE5"/>
    <w:multiLevelType w:val="hybridMultilevel"/>
    <w:tmpl w:val="0E148AC4"/>
    <w:lvl w:ilvl="0" w:tplc="F97826FE">
      <w:start w:val="1"/>
      <w:numFmt w:val="decimal"/>
      <w:lvlText w:val="%1)"/>
      <w:lvlJc w:val="left"/>
      <w:pPr>
        <w:ind w:left="1666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938174A">
      <w:numFmt w:val="bullet"/>
      <w:lvlText w:val="•"/>
      <w:lvlJc w:val="left"/>
      <w:pPr>
        <w:ind w:left="2582" w:hanging="428"/>
      </w:pPr>
      <w:rPr>
        <w:rFonts w:hint="default"/>
        <w:lang w:val="uk-UA" w:eastAsia="en-US" w:bidi="ar-SA"/>
      </w:rPr>
    </w:lvl>
    <w:lvl w:ilvl="2" w:tplc="CE04F692">
      <w:numFmt w:val="bullet"/>
      <w:lvlText w:val="•"/>
      <w:lvlJc w:val="left"/>
      <w:pPr>
        <w:ind w:left="3504" w:hanging="428"/>
      </w:pPr>
      <w:rPr>
        <w:rFonts w:hint="default"/>
        <w:lang w:val="uk-UA" w:eastAsia="en-US" w:bidi="ar-SA"/>
      </w:rPr>
    </w:lvl>
    <w:lvl w:ilvl="3" w:tplc="F356EC8A">
      <w:numFmt w:val="bullet"/>
      <w:lvlText w:val="•"/>
      <w:lvlJc w:val="left"/>
      <w:pPr>
        <w:ind w:left="4427" w:hanging="428"/>
      </w:pPr>
      <w:rPr>
        <w:rFonts w:hint="default"/>
        <w:lang w:val="uk-UA" w:eastAsia="en-US" w:bidi="ar-SA"/>
      </w:rPr>
    </w:lvl>
    <w:lvl w:ilvl="4" w:tplc="FCD2C40A">
      <w:numFmt w:val="bullet"/>
      <w:lvlText w:val="•"/>
      <w:lvlJc w:val="left"/>
      <w:pPr>
        <w:ind w:left="5349" w:hanging="428"/>
      </w:pPr>
      <w:rPr>
        <w:rFonts w:hint="default"/>
        <w:lang w:val="uk-UA" w:eastAsia="en-US" w:bidi="ar-SA"/>
      </w:rPr>
    </w:lvl>
    <w:lvl w:ilvl="5" w:tplc="5C8267B8">
      <w:numFmt w:val="bullet"/>
      <w:lvlText w:val="•"/>
      <w:lvlJc w:val="left"/>
      <w:pPr>
        <w:ind w:left="6272" w:hanging="428"/>
      </w:pPr>
      <w:rPr>
        <w:rFonts w:hint="default"/>
        <w:lang w:val="uk-UA" w:eastAsia="en-US" w:bidi="ar-SA"/>
      </w:rPr>
    </w:lvl>
    <w:lvl w:ilvl="6" w:tplc="87BA7ADE">
      <w:numFmt w:val="bullet"/>
      <w:lvlText w:val="•"/>
      <w:lvlJc w:val="left"/>
      <w:pPr>
        <w:ind w:left="7194" w:hanging="428"/>
      </w:pPr>
      <w:rPr>
        <w:rFonts w:hint="default"/>
        <w:lang w:val="uk-UA" w:eastAsia="en-US" w:bidi="ar-SA"/>
      </w:rPr>
    </w:lvl>
    <w:lvl w:ilvl="7" w:tplc="F3E06DBC">
      <w:numFmt w:val="bullet"/>
      <w:lvlText w:val="•"/>
      <w:lvlJc w:val="left"/>
      <w:pPr>
        <w:ind w:left="8116" w:hanging="428"/>
      </w:pPr>
      <w:rPr>
        <w:rFonts w:hint="default"/>
        <w:lang w:val="uk-UA" w:eastAsia="en-US" w:bidi="ar-SA"/>
      </w:rPr>
    </w:lvl>
    <w:lvl w:ilvl="8" w:tplc="4328C9FA">
      <w:numFmt w:val="bullet"/>
      <w:lvlText w:val="•"/>
      <w:lvlJc w:val="left"/>
      <w:pPr>
        <w:ind w:left="9039" w:hanging="428"/>
      </w:pPr>
      <w:rPr>
        <w:rFonts w:hint="default"/>
        <w:lang w:val="uk-UA" w:eastAsia="en-US" w:bidi="ar-SA"/>
      </w:rPr>
    </w:lvl>
  </w:abstractNum>
  <w:abstractNum w:abstractNumId="16">
    <w:nsid w:val="6F1F4BA1"/>
    <w:multiLevelType w:val="hybridMultilevel"/>
    <w:tmpl w:val="63A4E350"/>
    <w:lvl w:ilvl="0" w:tplc="FA8EC9D2">
      <w:start w:val="1"/>
      <w:numFmt w:val="decimal"/>
      <w:lvlText w:val="%1."/>
      <w:lvlJc w:val="left"/>
      <w:pPr>
        <w:ind w:left="9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FF67904">
      <w:numFmt w:val="bullet"/>
      <w:lvlText w:val="•"/>
      <w:lvlJc w:val="left"/>
      <w:pPr>
        <w:ind w:left="1970" w:hanging="423"/>
      </w:pPr>
      <w:rPr>
        <w:rFonts w:hint="default"/>
        <w:lang w:val="uk-UA" w:eastAsia="en-US" w:bidi="ar-SA"/>
      </w:rPr>
    </w:lvl>
    <w:lvl w:ilvl="2" w:tplc="121402AE">
      <w:numFmt w:val="bullet"/>
      <w:lvlText w:val="•"/>
      <w:lvlJc w:val="left"/>
      <w:pPr>
        <w:ind w:left="2960" w:hanging="423"/>
      </w:pPr>
      <w:rPr>
        <w:rFonts w:hint="default"/>
        <w:lang w:val="uk-UA" w:eastAsia="en-US" w:bidi="ar-SA"/>
      </w:rPr>
    </w:lvl>
    <w:lvl w:ilvl="3" w:tplc="06EC0D18">
      <w:numFmt w:val="bullet"/>
      <w:lvlText w:val="•"/>
      <w:lvlJc w:val="left"/>
      <w:pPr>
        <w:ind w:left="3951" w:hanging="423"/>
      </w:pPr>
      <w:rPr>
        <w:rFonts w:hint="default"/>
        <w:lang w:val="uk-UA" w:eastAsia="en-US" w:bidi="ar-SA"/>
      </w:rPr>
    </w:lvl>
    <w:lvl w:ilvl="4" w:tplc="9BC4367A">
      <w:numFmt w:val="bullet"/>
      <w:lvlText w:val="•"/>
      <w:lvlJc w:val="left"/>
      <w:pPr>
        <w:ind w:left="4941" w:hanging="423"/>
      </w:pPr>
      <w:rPr>
        <w:rFonts w:hint="default"/>
        <w:lang w:val="uk-UA" w:eastAsia="en-US" w:bidi="ar-SA"/>
      </w:rPr>
    </w:lvl>
    <w:lvl w:ilvl="5" w:tplc="63DAFBE0">
      <w:numFmt w:val="bullet"/>
      <w:lvlText w:val="•"/>
      <w:lvlJc w:val="left"/>
      <w:pPr>
        <w:ind w:left="5932" w:hanging="423"/>
      </w:pPr>
      <w:rPr>
        <w:rFonts w:hint="default"/>
        <w:lang w:val="uk-UA" w:eastAsia="en-US" w:bidi="ar-SA"/>
      </w:rPr>
    </w:lvl>
    <w:lvl w:ilvl="6" w:tplc="4FA4B068">
      <w:numFmt w:val="bullet"/>
      <w:lvlText w:val="•"/>
      <w:lvlJc w:val="left"/>
      <w:pPr>
        <w:ind w:left="6922" w:hanging="423"/>
      </w:pPr>
      <w:rPr>
        <w:rFonts w:hint="default"/>
        <w:lang w:val="uk-UA" w:eastAsia="en-US" w:bidi="ar-SA"/>
      </w:rPr>
    </w:lvl>
    <w:lvl w:ilvl="7" w:tplc="31FE6AE6">
      <w:numFmt w:val="bullet"/>
      <w:lvlText w:val="•"/>
      <w:lvlJc w:val="left"/>
      <w:pPr>
        <w:ind w:left="7912" w:hanging="423"/>
      </w:pPr>
      <w:rPr>
        <w:rFonts w:hint="default"/>
        <w:lang w:val="uk-UA" w:eastAsia="en-US" w:bidi="ar-SA"/>
      </w:rPr>
    </w:lvl>
    <w:lvl w:ilvl="8" w:tplc="6330A1E6">
      <w:numFmt w:val="bullet"/>
      <w:lvlText w:val="•"/>
      <w:lvlJc w:val="left"/>
      <w:pPr>
        <w:ind w:left="8903" w:hanging="423"/>
      </w:pPr>
      <w:rPr>
        <w:rFonts w:hint="default"/>
        <w:lang w:val="uk-UA" w:eastAsia="en-US" w:bidi="ar-SA"/>
      </w:rPr>
    </w:lvl>
  </w:abstractNum>
  <w:abstractNum w:abstractNumId="17">
    <w:nsid w:val="7445532E"/>
    <w:multiLevelType w:val="multilevel"/>
    <w:tmpl w:val="C6E4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BF0FB7"/>
    <w:multiLevelType w:val="multilevel"/>
    <w:tmpl w:val="067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AD2BC0"/>
    <w:multiLevelType w:val="multilevel"/>
    <w:tmpl w:val="3FF0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253C43"/>
    <w:multiLevelType w:val="hybridMultilevel"/>
    <w:tmpl w:val="52528AD2"/>
    <w:lvl w:ilvl="0" w:tplc="FFB8FFB2">
      <w:numFmt w:val="bullet"/>
      <w:lvlText w:val="-"/>
      <w:lvlJc w:val="left"/>
      <w:pPr>
        <w:ind w:left="696" w:hanging="154"/>
      </w:pPr>
      <w:rPr>
        <w:rFonts w:ascii="Arial MT" w:eastAsia="Arial MT" w:hAnsi="Arial MT" w:cs="Arial MT" w:hint="default"/>
        <w:w w:val="99"/>
        <w:sz w:val="28"/>
        <w:szCs w:val="28"/>
        <w:lang w:val="uk-UA" w:eastAsia="en-US" w:bidi="ar-SA"/>
      </w:rPr>
    </w:lvl>
    <w:lvl w:ilvl="1" w:tplc="F5B85F3A">
      <w:numFmt w:val="bullet"/>
      <w:lvlText w:val="•"/>
      <w:lvlJc w:val="left"/>
      <w:pPr>
        <w:ind w:left="1718" w:hanging="154"/>
      </w:pPr>
      <w:rPr>
        <w:rFonts w:hint="default"/>
        <w:lang w:val="uk-UA" w:eastAsia="en-US" w:bidi="ar-SA"/>
      </w:rPr>
    </w:lvl>
    <w:lvl w:ilvl="2" w:tplc="A31879F8">
      <w:numFmt w:val="bullet"/>
      <w:lvlText w:val="•"/>
      <w:lvlJc w:val="left"/>
      <w:pPr>
        <w:ind w:left="2736" w:hanging="154"/>
      </w:pPr>
      <w:rPr>
        <w:rFonts w:hint="default"/>
        <w:lang w:val="uk-UA" w:eastAsia="en-US" w:bidi="ar-SA"/>
      </w:rPr>
    </w:lvl>
    <w:lvl w:ilvl="3" w:tplc="C0727AF6">
      <w:numFmt w:val="bullet"/>
      <w:lvlText w:val="•"/>
      <w:lvlJc w:val="left"/>
      <w:pPr>
        <w:ind w:left="3755" w:hanging="154"/>
      </w:pPr>
      <w:rPr>
        <w:rFonts w:hint="default"/>
        <w:lang w:val="uk-UA" w:eastAsia="en-US" w:bidi="ar-SA"/>
      </w:rPr>
    </w:lvl>
    <w:lvl w:ilvl="4" w:tplc="D0420AEC">
      <w:numFmt w:val="bullet"/>
      <w:lvlText w:val="•"/>
      <w:lvlJc w:val="left"/>
      <w:pPr>
        <w:ind w:left="4773" w:hanging="154"/>
      </w:pPr>
      <w:rPr>
        <w:rFonts w:hint="default"/>
        <w:lang w:val="uk-UA" w:eastAsia="en-US" w:bidi="ar-SA"/>
      </w:rPr>
    </w:lvl>
    <w:lvl w:ilvl="5" w:tplc="4D2E4F3E">
      <w:numFmt w:val="bullet"/>
      <w:lvlText w:val="•"/>
      <w:lvlJc w:val="left"/>
      <w:pPr>
        <w:ind w:left="5792" w:hanging="154"/>
      </w:pPr>
      <w:rPr>
        <w:rFonts w:hint="default"/>
        <w:lang w:val="uk-UA" w:eastAsia="en-US" w:bidi="ar-SA"/>
      </w:rPr>
    </w:lvl>
    <w:lvl w:ilvl="6" w:tplc="93AA4B1A">
      <w:numFmt w:val="bullet"/>
      <w:lvlText w:val="•"/>
      <w:lvlJc w:val="left"/>
      <w:pPr>
        <w:ind w:left="6810" w:hanging="154"/>
      </w:pPr>
      <w:rPr>
        <w:rFonts w:hint="default"/>
        <w:lang w:val="uk-UA" w:eastAsia="en-US" w:bidi="ar-SA"/>
      </w:rPr>
    </w:lvl>
    <w:lvl w:ilvl="7" w:tplc="962A58CE">
      <w:numFmt w:val="bullet"/>
      <w:lvlText w:val="•"/>
      <w:lvlJc w:val="left"/>
      <w:pPr>
        <w:ind w:left="7828" w:hanging="154"/>
      </w:pPr>
      <w:rPr>
        <w:rFonts w:hint="default"/>
        <w:lang w:val="uk-UA" w:eastAsia="en-US" w:bidi="ar-SA"/>
      </w:rPr>
    </w:lvl>
    <w:lvl w:ilvl="8" w:tplc="6F2A162A">
      <w:numFmt w:val="bullet"/>
      <w:lvlText w:val="•"/>
      <w:lvlJc w:val="left"/>
      <w:pPr>
        <w:ind w:left="8847" w:hanging="154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5"/>
  </w:num>
  <w:num w:numId="5">
    <w:abstractNumId w:val="20"/>
  </w:num>
  <w:num w:numId="6">
    <w:abstractNumId w:val="11"/>
  </w:num>
  <w:num w:numId="7">
    <w:abstractNumId w:val="16"/>
  </w:num>
  <w:num w:numId="8">
    <w:abstractNumId w:val="2"/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4"/>
  </w:num>
  <w:num w:numId="16">
    <w:abstractNumId w:val="0"/>
  </w:num>
  <w:num w:numId="17">
    <w:abstractNumId w:val="6"/>
  </w:num>
  <w:num w:numId="18">
    <w:abstractNumId w:val="12"/>
  </w:num>
  <w:num w:numId="19">
    <w:abstractNumId w:val="19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C1039"/>
    <w:rsid w:val="000103F0"/>
    <w:rsid w:val="00012DD2"/>
    <w:rsid w:val="00023982"/>
    <w:rsid w:val="00026D7F"/>
    <w:rsid w:val="000308C5"/>
    <w:rsid w:val="00072DFA"/>
    <w:rsid w:val="00075F79"/>
    <w:rsid w:val="00092872"/>
    <w:rsid w:val="000C5C05"/>
    <w:rsid w:val="000D0EC3"/>
    <w:rsid w:val="0011592A"/>
    <w:rsid w:val="0012454F"/>
    <w:rsid w:val="00131512"/>
    <w:rsid w:val="00144F40"/>
    <w:rsid w:val="001710DE"/>
    <w:rsid w:val="001806F2"/>
    <w:rsid w:val="00186D91"/>
    <w:rsid w:val="0019427A"/>
    <w:rsid w:val="001A109B"/>
    <w:rsid w:val="001A6A33"/>
    <w:rsid w:val="001B3084"/>
    <w:rsid w:val="001D6955"/>
    <w:rsid w:val="001E2BAA"/>
    <w:rsid w:val="00202AEE"/>
    <w:rsid w:val="00210ED9"/>
    <w:rsid w:val="00215377"/>
    <w:rsid w:val="00244EA3"/>
    <w:rsid w:val="002470C4"/>
    <w:rsid w:val="002660E6"/>
    <w:rsid w:val="00266F92"/>
    <w:rsid w:val="0027656E"/>
    <w:rsid w:val="002773A7"/>
    <w:rsid w:val="002917FA"/>
    <w:rsid w:val="002A3741"/>
    <w:rsid w:val="002A7E6B"/>
    <w:rsid w:val="002C3C9D"/>
    <w:rsid w:val="002E1EA8"/>
    <w:rsid w:val="002E53BB"/>
    <w:rsid w:val="002E6230"/>
    <w:rsid w:val="002F3D91"/>
    <w:rsid w:val="00306570"/>
    <w:rsid w:val="00310F37"/>
    <w:rsid w:val="00313E97"/>
    <w:rsid w:val="003235A0"/>
    <w:rsid w:val="00331FF5"/>
    <w:rsid w:val="0033790B"/>
    <w:rsid w:val="0037076F"/>
    <w:rsid w:val="003857C2"/>
    <w:rsid w:val="003906DF"/>
    <w:rsid w:val="003A5FB0"/>
    <w:rsid w:val="003C219B"/>
    <w:rsid w:val="003D4AAF"/>
    <w:rsid w:val="003E2832"/>
    <w:rsid w:val="003F6215"/>
    <w:rsid w:val="00413A98"/>
    <w:rsid w:val="00414E74"/>
    <w:rsid w:val="004238E5"/>
    <w:rsid w:val="00431EBA"/>
    <w:rsid w:val="004350E7"/>
    <w:rsid w:val="004423FB"/>
    <w:rsid w:val="00490071"/>
    <w:rsid w:val="00494EAA"/>
    <w:rsid w:val="004A2E7A"/>
    <w:rsid w:val="004A3C18"/>
    <w:rsid w:val="004A513D"/>
    <w:rsid w:val="004A6783"/>
    <w:rsid w:val="004B1B45"/>
    <w:rsid w:val="004B206B"/>
    <w:rsid w:val="004C1039"/>
    <w:rsid w:val="004D542A"/>
    <w:rsid w:val="004D5FF9"/>
    <w:rsid w:val="004E465F"/>
    <w:rsid w:val="004E732E"/>
    <w:rsid w:val="004E7CFA"/>
    <w:rsid w:val="004F0B7C"/>
    <w:rsid w:val="004F7772"/>
    <w:rsid w:val="00536EB5"/>
    <w:rsid w:val="00560659"/>
    <w:rsid w:val="00573FB3"/>
    <w:rsid w:val="00586B41"/>
    <w:rsid w:val="005949B0"/>
    <w:rsid w:val="005A2635"/>
    <w:rsid w:val="005A3EF3"/>
    <w:rsid w:val="005B507D"/>
    <w:rsid w:val="005D6F7F"/>
    <w:rsid w:val="00606148"/>
    <w:rsid w:val="00626C8C"/>
    <w:rsid w:val="00651798"/>
    <w:rsid w:val="00663BD1"/>
    <w:rsid w:val="006733C2"/>
    <w:rsid w:val="00677646"/>
    <w:rsid w:val="00681709"/>
    <w:rsid w:val="006B17A6"/>
    <w:rsid w:val="006C0FCD"/>
    <w:rsid w:val="006F13F4"/>
    <w:rsid w:val="006F2D77"/>
    <w:rsid w:val="007025C7"/>
    <w:rsid w:val="00704467"/>
    <w:rsid w:val="007048A9"/>
    <w:rsid w:val="00704BED"/>
    <w:rsid w:val="007162AC"/>
    <w:rsid w:val="00724AF0"/>
    <w:rsid w:val="007258C0"/>
    <w:rsid w:val="00725DAE"/>
    <w:rsid w:val="00736684"/>
    <w:rsid w:val="007451A9"/>
    <w:rsid w:val="00765E4E"/>
    <w:rsid w:val="007C29A5"/>
    <w:rsid w:val="007C53F6"/>
    <w:rsid w:val="007C6FC9"/>
    <w:rsid w:val="007D549D"/>
    <w:rsid w:val="007F6A5D"/>
    <w:rsid w:val="00801BC4"/>
    <w:rsid w:val="0080455E"/>
    <w:rsid w:val="00806A95"/>
    <w:rsid w:val="008101C1"/>
    <w:rsid w:val="008154E4"/>
    <w:rsid w:val="00820F0B"/>
    <w:rsid w:val="008259E5"/>
    <w:rsid w:val="00844C9F"/>
    <w:rsid w:val="00854C90"/>
    <w:rsid w:val="008603E7"/>
    <w:rsid w:val="008D3468"/>
    <w:rsid w:val="008D7CBC"/>
    <w:rsid w:val="008E67E2"/>
    <w:rsid w:val="00903663"/>
    <w:rsid w:val="00911065"/>
    <w:rsid w:val="00934BE6"/>
    <w:rsid w:val="009731FE"/>
    <w:rsid w:val="009A1C4E"/>
    <w:rsid w:val="009B4025"/>
    <w:rsid w:val="009C3E6F"/>
    <w:rsid w:val="009C4B3A"/>
    <w:rsid w:val="009D0CF8"/>
    <w:rsid w:val="009D7145"/>
    <w:rsid w:val="00A02126"/>
    <w:rsid w:val="00A04D67"/>
    <w:rsid w:val="00A1642B"/>
    <w:rsid w:val="00A459E3"/>
    <w:rsid w:val="00A55B76"/>
    <w:rsid w:val="00A74E0F"/>
    <w:rsid w:val="00A859FA"/>
    <w:rsid w:val="00AB16E0"/>
    <w:rsid w:val="00AD3544"/>
    <w:rsid w:val="00AF58E0"/>
    <w:rsid w:val="00B15200"/>
    <w:rsid w:val="00B357F4"/>
    <w:rsid w:val="00B42ADC"/>
    <w:rsid w:val="00B445F3"/>
    <w:rsid w:val="00B52733"/>
    <w:rsid w:val="00B53E0F"/>
    <w:rsid w:val="00B716EC"/>
    <w:rsid w:val="00B74D9B"/>
    <w:rsid w:val="00B952AA"/>
    <w:rsid w:val="00BA5F3B"/>
    <w:rsid w:val="00BA6F66"/>
    <w:rsid w:val="00BB08ED"/>
    <w:rsid w:val="00BE7D75"/>
    <w:rsid w:val="00C00374"/>
    <w:rsid w:val="00C03BF3"/>
    <w:rsid w:val="00C3437F"/>
    <w:rsid w:val="00C37428"/>
    <w:rsid w:val="00C569E9"/>
    <w:rsid w:val="00C6125D"/>
    <w:rsid w:val="00C650B3"/>
    <w:rsid w:val="00C761E2"/>
    <w:rsid w:val="00C87EB0"/>
    <w:rsid w:val="00C91997"/>
    <w:rsid w:val="00CA571F"/>
    <w:rsid w:val="00CB4CB3"/>
    <w:rsid w:val="00CD1619"/>
    <w:rsid w:val="00CD4253"/>
    <w:rsid w:val="00CF607F"/>
    <w:rsid w:val="00CF7323"/>
    <w:rsid w:val="00D23A6E"/>
    <w:rsid w:val="00D34914"/>
    <w:rsid w:val="00D556D1"/>
    <w:rsid w:val="00D67A95"/>
    <w:rsid w:val="00D71858"/>
    <w:rsid w:val="00D82D2A"/>
    <w:rsid w:val="00D928E9"/>
    <w:rsid w:val="00DD56E7"/>
    <w:rsid w:val="00DE3633"/>
    <w:rsid w:val="00E35FBF"/>
    <w:rsid w:val="00E36292"/>
    <w:rsid w:val="00E45DBB"/>
    <w:rsid w:val="00E47E75"/>
    <w:rsid w:val="00E513AB"/>
    <w:rsid w:val="00E57621"/>
    <w:rsid w:val="00E67F95"/>
    <w:rsid w:val="00E708A4"/>
    <w:rsid w:val="00E722DD"/>
    <w:rsid w:val="00E75D3A"/>
    <w:rsid w:val="00E91F75"/>
    <w:rsid w:val="00EB6B05"/>
    <w:rsid w:val="00ED3CB0"/>
    <w:rsid w:val="00EE454F"/>
    <w:rsid w:val="00F027E5"/>
    <w:rsid w:val="00F125E3"/>
    <w:rsid w:val="00F12E69"/>
    <w:rsid w:val="00F371D3"/>
    <w:rsid w:val="00F5564D"/>
    <w:rsid w:val="00F56902"/>
    <w:rsid w:val="00F65668"/>
    <w:rsid w:val="00F74E4D"/>
    <w:rsid w:val="00F81BB3"/>
    <w:rsid w:val="00FA4286"/>
    <w:rsid w:val="00FC0DFD"/>
    <w:rsid w:val="00FC56FA"/>
    <w:rsid w:val="00FF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D9B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B74D9B"/>
    <w:pPr>
      <w:ind w:left="2261" w:right="154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4D9B"/>
    <w:pPr>
      <w:ind w:left="9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D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D9B"/>
    <w:rPr>
      <w:sz w:val="28"/>
      <w:szCs w:val="28"/>
    </w:rPr>
  </w:style>
  <w:style w:type="paragraph" w:styleId="a5">
    <w:name w:val="List Paragraph"/>
    <w:basedOn w:val="a"/>
    <w:uiPriority w:val="1"/>
    <w:qFormat/>
    <w:rsid w:val="00B74D9B"/>
    <w:pPr>
      <w:ind w:left="69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74D9B"/>
  </w:style>
  <w:style w:type="paragraph" w:styleId="a6">
    <w:name w:val="Balloon Text"/>
    <w:basedOn w:val="a"/>
    <w:link w:val="a7"/>
    <w:uiPriority w:val="99"/>
    <w:semiHidden/>
    <w:unhideWhenUsed/>
    <w:rsid w:val="008101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1C1"/>
    <w:rPr>
      <w:rFonts w:ascii="Tahoma" w:eastAsia="Times New Roman" w:hAnsi="Tahoma" w:cs="Tahoma"/>
      <w:sz w:val="16"/>
      <w:szCs w:val="16"/>
      <w:lang w:val="uk-UA"/>
    </w:rPr>
  </w:style>
  <w:style w:type="paragraph" w:customStyle="1" w:styleId="a8">
    <w:name w:val="Нормальний текст"/>
    <w:basedOn w:val="a"/>
    <w:rsid w:val="00A55B76"/>
    <w:pPr>
      <w:widowControl/>
      <w:autoSpaceDE/>
      <w:autoSpaceDN/>
      <w:spacing w:before="120"/>
      <w:ind w:firstLine="567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55B7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55B76"/>
  </w:style>
  <w:style w:type="paragraph" w:styleId="aa">
    <w:name w:val="Body Text Indent"/>
    <w:basedOn w:val="a"/>
    <w:link w:val="ab"/>
    <w:uiPriority w:val="99"/>
    <w:semiHidden/>
    <w:unhideWhenUsed/>
    <w:rsid w:val="002E1EA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1EA8"/>
    <w:rPr>
      <w:rFonts w:ascii="Times New Roman" w:eastAsia="Times New Roman" w:hAnsi="Times New Roman" w:cs="Times New Roman"/>
      <w:lang w:val="uk-UA"/>
    </w:rPr>
  </w:style>
  <w:style w:type="paragraph" w:customStyle="1" w:styleId="32">
    <w:name w:val="Основной текст с отступом 32"/>
    <w:basedOn w:val="a"/>
    <w:rsid w:val="002E1EA8"/>
    <w:pPr>
      <w:widowControl/>
      <w:overflowPunct w:val="0"/>
      <w:adjustRightInd w:val="0"/>
      <w:spacing w:before="40" w:line="260" w:lineRule="auto"/>
      <w:ind w:left="40" w:firstLine="360"/>
      <w:jc w:val="both"/>
      <w:textAlignment w:val="baseline"/>
    </w:pPr>
    <w:rPr>
      <w:rFonts w:ascii="Courier New" w:eastAsia="Calibri" w:hAnsi="Courier New"/>
      <w:szCs w:val="20"/>
      <w:lang w:eastAsia="ru-RU"/>
    </w:rPr>
  </w:style>
  <w:style w:type="paragraph" w:customStyle="1" w:styleId="10955">
    <w:name w:val="10955"/>
    <w:aliases w:val="baiaagaaboqcaaadscyaaaw+jgaaaaaaaaaaaaaaaaaaaaaaaaaaaaaaaaaaaaaaaaaaaaaaaaaaaaaaaaaaaaaaaaaaaaaaaaaaaaaaaaaaaaaaaaaaaaaaaaaaaaaaaaaaaaaaaaaaaaaaaaaaaaaaaaaaaaaaaaaaaaaaaaaaaaaaaaaaaaaaaaaaaaaaaaaaaaaaaaaaaaaaaaaaaaaaaaaaaaaaaaaaaaa"/>
    <w:basedOn w:val="a"/>
    <w:rsid w:val="002E1EA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link w:val="a3"/>
    <w:uiPriority w:val="1"/>
    <w:rsid w:val="00210ED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c">
    <w:name w:val="Subtitle"/>
    <w:basedOn w:val="a"/>
    <w:link w:val="ad"/>
    <w:qFormat/>
    <w:rsid w:val="00210ED9"/>
    <w:pPr>
      <w:widowControl/>
      <w:autoSpaceDE/>
      <w:autoSpaceDN/>
      <w:jc w:val="center"/>
    </w:pPr>
    <w:rPr>
      <w:rFonts w:ascii="Arial" w:hAnsi="Arial"/>
      <w:b/>
      <w:sz w:val="36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210ED9"/>
    <w:rPr>
      <w:rFonts w:ascii="Arial" w:eastAsia="Times New Roman" w:hAnsi="Arial" w:cs="Times New Roman"/>
      <w:b/>
      <w:sz w:val="3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2C3C9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docdata">
    <w:name w:val="docdata"/>
    <w:aliases w:val="docy,v5,302832,baiaagaaboqcaaad52geaaufiwqaaaaaaaaaaaaaaaaaaaaaaaaaaaaaaaaaaaaaaaaaaaaaaaaaaaaaaaaaaaaaaaaaaaaaaaaaaaaaaaaaaaaaaaaaaaaaaaaaaaaaaaaaaaaaaaaaaaaaaaaaaaaaaaaaaaaaaaaaaaaaaaaaaaaaaaaaaaaaaaaaaaaaaaaaaaaaaaaaaaaaaaaaaaaaaaaaaaaaaaaaaa"/>
    <w:basedOn w:val="a"/>
    <w:rsid w:val="002C3C9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261" w:right="154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9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101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1C1"/>
    <w:rPr>
      <w:rFonts w:ascii="Tahoma" w:eastAsia="Times New Roman" w:hAnsi="Tahoma" w:cs="Tahoma"/>
      <w:sz w:val="16"/>
      <w:szCs w:val="16"/>
      <w:lang w:val="uk-UA"/>
    </w:rPr>
  </w:style>
  <w:style w:type="paragraph" w:customStyle="1" w:styleId="a8">
    <w:name w:val="Нормальний текст"/>
    <w:basedOn w:val="a"/>
    <w:rsid w:val="00A55B76"/>
    <w:pPr>
      <w:widowControl/>
      <w:autoSpaceDE/>
      <w:autoSpaceDN/>
      <w:spacing w:before="120"/>
      <w:ind w:firstLine="567"/>
    </w:pPr>
    <w:rPr>
      <w:sz w:val="24"/>
      <w:szCs w:val="24"/>
      <w:lang w:eastAsia="ru-RU"/>
    </w:rPr>
  </w:style>
  <w:style w:type="paragraph" w:styleId="a9">
    <w:name w:val="Normal (Web)"/>
    <w:basedOn w:val="a"/>
    <w:rsid w:val="00A55B7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55B76"/>
  </w:style>
  <w:style w:type="paragraph" w:styleId="aa">
    <w:name w:val="Body Text Indent"/>
    <w:basedOn w:val="a"/>
    <w:link w:val="ab"/>
    <w:uiPriority w:val="99"/>
    <w:semiHidden/>
    <w:unhideWhenUsed/>
    <w:rsid w:val="002E1EA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1EA8"/>
    <w:rPr>
      <w:rFonts w:ascii="Times New Roman" w:eastAsia="Times New Roman" w:hAnsi="Times New Roman" w:cs="Times New Roman"/>
      <w:lang w:val="uk-UA"/>
    </w:rPr>
  </w:style>
  <w:style w:type="paragraph" w:customStyle="1" w:styleId="32">
    <w:name w:val="Основной текст с отступом 32"/>
    <w:basedOn w:val="a"/>
    <w:rsid w:val="002E1EA8"/>
    <w:pPr>
      <w:widowControl/>
      <w:overflowPunct w:val="0"/>
      <w:adjustRightInd w:val="0"/>
      <w:spacing w:before="40" w:line="260" w:lineRule="auto"/>
      <w:ind w:left="40" w:firstLine="360"/>
      <w:jc w:val="both"/>
      <w:textAlignment w:val="baseline"/>
    </w:pPr>
    <w:rPr>
      <w:rFonts w:ascii="Courier New" w:eastAsia="Calibri" w:hAnsi="Courier New"/>
      <w:szCs w:val="20"/>
      <w:lang w:eastAsia="ru-RU"/>
    </w:rPr>
  </w:style>
  <w:style w:type="paragraph" w:customStyle="1" w:styleId="10955">
    <w:name w:val="10955"/>
    <w:aliases w:val="baiaagaaboqcaaadscyaaaw+jgaaaaaaaaaaaaaaaaaaaaaaaaaaaaaaaaaaaaaaaaaaaaaaaaaaaaaaaaaaaaaaaaaaaaaaaaaaaaaaaaaaaaaaaaaaaaaaaaaaaaaaaaaaaaaaaaaaaaaaaaaaaaaaaaaaaaaaaaaaaaaaaaaaaaaaaaaaaaaaaaaaaaaaaaaaaaaaaaaaaaaaaaaaaaaaaaaaaaaaaaaaaaa"/>
    <w:basedOn w:val="a"/>
    <w:rsid w:val="002E1EA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link w:val="a3"/>
    <w:uiPriority w:val="1"/>
    <w:rsid w:val="00210ED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c">
    <w:name w:val="Subtitle"/>
    <w:basedOn w:val="a"/>
    <w:link w:val="ad"/>
    <w:qFormat/>
    <w:rsid w:val="00210ED9"/>
    <w:pPr>
      <w:widowControl/>
      <w:autoSpaceDE/>
      <w:autoSpaceDN/>
      <w:jc w:val="center"/>
    </w:pPr>
    <w:rPr>
      <w:rFonts w:ascii="Arial" w:hAnsi="Arial"/>
      <w:b/>
      <w:sz w:val="36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210ED9"/>
    <w:rPr>
      <w:rFonts w:ascii="Arial" w:eastAsia="Times New Roman" w:hAnsi="Arial" w:cs="Times New Roman"/>
      <w:b/>
      <w:sz w:val="3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3AC5-77FA-43E0-941B-8C2B137A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5762</Words>
  <Characters>32848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Тетяна</cp:lastModifiedBy>
  <cp:revision>4</cp:revision>
  <cp:lastPrinted>2021-08-26T09:28:00Z</cp:lastPrinted>
  <dcterms:created xsi:type="dcterms:W3CDTF">2021-08-27T09:49:00Z</dcterms:created>
  <dcterms:modified xsi:type="dcterms:W3CDTF">2021-08-30T11:30:00Z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2021-08-04T00:00:00Z</vt:filetime>
  </property>
</Properties>
</file>