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42AD131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7807149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7876C735" w:rsidR="00C4214B" w:rsidRPr="003934DC" w:rsidRDefault="003934DC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29.06.2023</w:t>
      </w: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</w:t>
      </w:r>
      <w:r w:rsidR="00C4214B" w:rsidRPr="003934DC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238</w:t>
      </w:r>
      <w:r>
        <w:rPr>
          <w:rFonts w:ascii="Times New Roman" w:hAnsi="Times New Roman"/>
          <w:noProof/>
          <w:sz w:val="28"/>
          <w:szCs w:val="28"/>
          <w:lang w:val="uk-UA"/>
        </w:rPr>
        <w:t>___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1E61D486" w:rsidR="00AF5B33" w:rsidRPr="00E42089" w:rsidRDefault="003860B2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Золотухіна П.Г.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Мотуза О.М.</w:t>
      </w:r>
    </w:p>
    <w:bookmarkEnd w:id="0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4A870703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15.06.2023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6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06A3A912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15.06.2023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Золотухіним Павлом Геннадійовичем щодо недієздатного Мотуза Олексія Миколайовича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2D20D2C" w14:textId="77777777" w:rsidR="003934DC" w:rsidRPr="00094AB6" w:rsidRDefault="003934DC" w:rsidP="003934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val="uk-UA" w:eastAsia="x-none"/>
        </w:rPr>
      </w:pPr>
      <w:r w:rsidRPr="00094AB6">
        <w:rPr>
          <w:rFonts w:ascii="Times New Roman" w:hAnsi="Times New Roman"/>
          <w:sz w:val="28"/>
          <w:szCs w:val="20"/>
          <w:lang w:val="uk-UA" w:eastAsia="x-none"/>
        </w:rPr>
        <w:t>Секретар міської ради</w:t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</w:r>
      <w:r w:rsidRPr="00094AB6">
        <w:rPr>
          <w:rFonts w:ascii="Times New Roman" w:hAnsi="Times New Roman"/>
          <w:sz w:val="28"/>
          <w:szCs w:val="20"/>
          <w:lang w:val="uk-UA" w:eastAsia="x-none"/>
        </w:rPr>
        <w:tab/>
        <w:t>Юрій СТУДАНС</w:t>
      </w:r>
    </w:p>
    <w:p w14:paraId="0F5034B8" w14:textId="77777777" w:rsidR="003934DC" w:rsidRPr="00094AB6" w:rsidRDefault="003934DC" w:rsidP="003934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x-none"/>
        </w:rPr>
      </w:pPr>
    </w:p>
    <w:p w14:paraId="4462415F" w14:textId="77777777" w:rsidR="003934DC" w:rsidRDefault="003934DC" w:rsidP="003934DC">
      <w:pPr>
        <w:tabs>
          <w:tab w:val="left" w:pos="6780"/>
          <w:tab w:val="left" w:pos="7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F46C5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336A9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7777777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</w:rPr>
        <w:t xml:space="preserve">Додаток </w:t>
      </w:r>
      <w:r w:rsidRPr="00BD5E24">
        <w:rPr>
          <w:rFonts w:ascii="Times New Roman" w:hAnsi="Times New Roman"/>
          <w:sz w:val="24"/>
          <w:szCs w:val="24"/>
          <w:lang w:val="uk-UA"/>
        </w:rPr>
        <w:t>1</w:t>
      </w:r>
    </w:p>
    <w:p w14:paraId="3654684F" w14:textId="7777777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до рішення виконавчого комітету</w:t>
      </w:r>
    </w:p>
    <w:p w14:paraId="5F326B80" w14:textId="1D9D5E5A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</w:t>
      </w:r>
      <w:bookmarkStart w:id="1" w:name="_Hlk136852765"/>
      <w:r w:rsidRPr="00BD5E24">
        <w:rPr>
          <w:rFonts w:ascii="Times New Roman" w:hAnsi="Times New Roman"/>
          <w:sz w:val="24"/>
          <w:szCs w:val="24"/>
        </w:rPr>
        <w:t>від _</w:t>
      </w:r>
      <w:r w:rsidR="003934DC">
        <w:rPr>
          <w:rFonts w:ascii="Times New Roman" w:hAnsi="Times New Roman"/>
          <w:sz w:val="24"/>
          <w:szCs w:val="24"/>
          <w:lang w:val="uk-UA"/>
        </w:rPr>
        <w:t>__</w:t>
      </w:r>
      <w:r w:rsidR="003934DC">
        <w:rPr>
          <w:rFonts w:ascii="Times New Roman" w:hAnsi="Times New Roman"/>
          <w:sz w:val="24"/>
          <w:szCs w:val="24"/>
          <w:u w:val="single"/>
          <w:lang w:val="uk-UA"/>
        </w:rPr>
        <w:t>29.06.2023</w:t>
      </w:r>
      <w:r w:rsidR="003934DC">
        <w:rPr>
          <w:rFonts w:ascii="Times New Roman" w:hAnsi="Times New Roman"/>
          <w:sz w:val="24"/>
          <w:szCs w:val="24"/>
        </w:rPr>
        <w:t>___ № _</w:t>
      </w:r>
      <w:r w:rsidR="003934DC">
        <w:rPr>
          <w:rFonts w:ascii="Times New Roman" w:hAnsi="Times New Roman"/>
          <w:sz w:val="24"/>
          <w:szCs w:val="24"/>
          <w:u w:val="single"/>
          <w:lang w:val="uk-UA"/>
        </w:rPr>
        <w:t>238</w:t>
      </w:r>
      <w:r w:rsidRPr="00BD5E24">
        <w:rPr>
          <w:rFonts w:ascii="Times New Roman" w:hAnsi="Times New Roman"/>
          <w:sz w:val="24"/>
          <w:szCs w:val="24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1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305B751C" w14:textId="30F5807B" w:rsidR="00296F22" w:rsidRPr="000C5893" w:rsidRDefault="00296F22" w:rsidP="00296F22">
      <w:pPr>
        <w:shd w:val="clear" w:color="auto" w:fill="FFFFFF"/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15.06.2023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Золотухіна П.Г.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Мотуза О.М.</w:t>
      </w:r>
    </w:p>
    <w:p w14:paraId="3FA88213" w14:textId="77777777" w:rsidR="00296F22" w:rsidRPr="0036582E" w:rsidRDefault="00296F22" w:rsidP="00296F2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0367CEB1" w14:textId="0F54FD2A" w:rsidR="00296F22" w:rsidRDefault="00296F22" w:rsidP="00296F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правління праці та соціального захисту населення виконавчого комітету Смілянської міської ради, </w:t>
      </w:r>
      <w:r w:rsidR="006D5BE6" w:rsidRPr="006D5BE6">
        <w:rPr>
          <w:rFonts w:ascii="Times New Roman" w:hAnsi="Times New Roman"/>
          <w:sz w:val="28"/>
          <w:szCs w:val="28"/>
          <w:lang w:val="uk-UA" w:eastAsia="ar-SA"/>
        </w:rPr>
        <w:t>31.05.2023</w:t>
      </w:r>
      <w:r w:rsidR="006D5B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звернулася </w:t>
      </w:r>
      <w:r w:rsidRPr="00296F22">
        <w:rPr>
          <w:rFonts w:ascii="Times New Roman" w:hAnsi="Times New Roman"/>
          <w:sz w:val="28"/>
          <w:szCs w:val="28"/>
          <w:lang w:val="uk-UA" w:eastAsia="ar-SA"/>
        </w:rPr>
        <w:t>звернувся Золотухін Павло Геннадійович, 13.05.1983 року народження із заявою, щодо можливості призначення його опікуном над недієздатним Мотузом Олексієм Миколайовичем, 24.05.1978 року народження.</w:t>
      </w:r>
    </w:p>
    <w:p w14:paraId="19E62BA0" w14:textId="3D4725E9" w:rsidR="00296F22" w:rsidRDefault="00296F22" w:rsidP="00296F22">
      <w:pPr>
        <w:pStyle w:val="docdata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ab/>
        <w:t xml:space="preserve">Згідно довідки </w:t>
      </w:r>
      <w:r>
        <w:rPr>
          <w:color w:val="000000"/>
          <w:sz w:val="28"/>
          <w:szCs w:val="28"/>
        </w:rPr>
        <w:t>до акту огляду МСЕК (серія 12 ААГ № 336672)  від 08.02.2023 Мотуз О.М. є особою з інвалідністю ІІI групи загального захворювання до 01.03.2025.</w:t>
      </w:r>
    </w:p>
    <w:p w14:paraId="2E246747" w14:textId="77777777" w:rsidR="00296F22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Рішенням Красногвардійського районного суду м. Дніпропетровська від 23.01.2015 Мотуза О. М. визнано недієздатним, на сьогоднішній день опікуна не призначено.</w:t>
      </w:r>
    </w:p>
    <w:p w14:paraId="459AD394" w14:textId="6D861F4D" w:rsidR="00296F22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Має у власності 1/2 будинку загальною площею 50.7 кв.м. за адресою: Черкаська область, Черкаський район, м. Сміла, вул. Нагорного, буд. 23, де фактично проживає.</w:t>
      </w:r>
    </w:p>
    <w:p w14:paraId="5FB3A4DD" w14:textId="165F8304" w:rsidR="00296F22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Золотухін Павло Геннадійович згідно висновку про стан здоров’я                  КНП «Другий Черкаський міський центр медико-санітарної допомоги» від 15.05.2023, медичної довідки про проходження попереднього, періодичного та позачергового психіатричних оглядів, у тому числі на предмет вживання психоактивних речовин, може виконувати обов’язки опікуна. </w:t>
      </w:r>
    </w:p>
    <w:p w14:paraId="09C892CC" w14:textId="77777777" w:rsidR="00296F22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Золотухін П.Г. до кримінальної відповідальності не притягується, не знятої чи непогашеної судимості не має.</w:t>
      </w:r>
    </w:p>
    <w:p w14:paraId="6EB44DC9" w14:textId="77777777" w:rsidR="00296F22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Золотухін П.Г. працює в ТзОВ «Альтерія» з 2018 року. Згідно характеристики наданої роботодавцем характеризується позитивно.</w:t>
      </w:r>
    </w:p>
    <w:p w14:paraId="20DE7A9D" w14:textId="77777777" w:rsidR="0097287A" w:rsidRDefault="00296F22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287A" w:rsidRPr="0097287A">
        <w:rPr>
          <w:color w:val="000000"/>
          <w:sz w:val="28"/>
          <w:szCs w:val="28"/>
          <w:lang w:val="ru-RU"/>
        </w:rPr>
        <w:t>Департаментом соціальної політики Черкаської міської ради 15.06.2023 проведено обстеження житлово-побутових умов проживання майбутнього опікуна Золотухіна П.Г. та складено акт.  Відповідно якого, житлово-побутові умови, які створені в помешканні Золотухіна Павла Геннадійовича за адресою: м. Чераси, вул. Припортова, буд. 20, кв.47 в цілому відповідають санітарно-гігієнічним нормам та забезпечують повноцінне і достойне проживання мешканців квартири.</w:t>
      </w:r>
      <w:r>
        <w:rPr>
          <w:color w:val="000000"/>
          <w:sz w:val="28"/>
          <w:szCs w:val="28"/>
        </w:rPr>
        <w:tab/>
      </w:r>
    </w:p>
    <w:p w14:paraId="5878DA6C" w14:textId="1212A996" w:rsidR="00296F22" w:rsidRDefault="0097287A" w:rsidP="00296F22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296F22">
        <w:rPr>
          <w:color w:val="000000"/>
          <w:sz w:val="28"/>
          <w:szCs w:val="28"/>
        </w:rPr>
        <w:t>Дружина заявника, Золотухіна Л.Ф. та сестра недієздатного, не заперечують, щодо виконання ним обов’язків опікуна щодо Мотуза Олексія Миколайовича.</w:t>
      </w:r>
    </w:p>
    <w:p w14:paraId="2F603468" w14:textId="77777777" w:rsidR="00296F22" w:rsidRDefault="00296F22" w:rsidP="00296F22">
      <w:pPr>
        <w:pStyle w:val="af2"/>
        <w:tabs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Золотухін П.Г. ознайомлений з правами та обов’язками опікуна, свідомо йде на цей відповідальний крок.</w:t>
      </w:r>
      <w:r>
        <w:rPr>
          <w:color w:val="000000"/>
        </w:rPr>
        <w:t xml:space="preserve">  </w:t>
      </w:r>
      <w:r>
        <w:rPr>
          <w:color w:val="000000"/>
          <w:sz w:val="28"/>
          <w:szCs w:val="28"/>
        </w:rPr>
        <w:t xml:space="preserve">      </w:t>
      </w:r>
    </w:p>
    <w:p w14:paraId="57A36449" w14:textId="350985D0" w:rsidR="006D5BE6" w:rsidRDefault="00296F22" w:rsidP="006D5BE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lastRenderedPageBreak/>
        <w:tab/>
      </w:r>
      <w:r w:rsidR="006D5BE6" w:rsidRPr="006D5BE6">
        <w:rPr>
          <w:rFonts w:ascii="Times New Roman" w:hAnsi="Times New Roman"/>
          <w:sz w:val="24"/>
          <w:szCs w:val="24"/>
          <w:lang w:val="uk-UA" w:eastAsia="ar-SA"/>
        </w:rPr>
        <w:t>Продовження додатку 1</w:t>
      </w:r>
    </w:p>
    <w:p w14:paraId="682AF372" w14:textId="77777777" w:rsidR="006D5BE6" w:rsidRPr="006D5BE6" w:rsidRDefault="006D5BE6" w:rsidP="006D5BE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14:paraId="6382B71E" w14:textId="324B1B23" w:rsidR="00296F22" w:rsidRPr="00E42089" w:rsidRDefault="006D5BE6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296F22" w:rsidRPr="00E42089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="00296F22" w:rsidRPr="00E42089">
        <w:rPr>
          <w:rFonts w:ascii="Times New Roman" w:hAnsi="Times New Roman"/>
          <w:noProof/>
          <w:sz w:val="28"/>
          <w:szCs w:val="28"/>
          <w:lang w:val="uk-UA"/>
        </w:rPr>
        <w:t>п.п. 2.1 п. 2 Правил опіки та піклування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296F22" w:rsidRPr="00E42089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296F22" w:rsidRPr="00E4208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про</w:t>
      </w:r>
      <w:r w:rsidR="00296F22" w:rsidRPr="00E4208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можливість </w:t>
      </w:r>
      <w:r w:rsidR="00E4468C" w:rsidRPr="00E4468C">
        <w:rPr>
          <w:rFonts w:ascii="Times New Roman" w:hAnsi="Times New Roman"/>
          <w:sz w:val="28"/>
          <w:szCs w:val="28"/>
          <w:lang w:val="uk-UA" w:eastAsia="ar-SA"/>
        </w:rPr>
        <w:t>виконання обов’язків опікуна</w:t>
      </w:r>
      <w:r w:rsidR="00E4468C" w:rsidRPr="00E4468C">
        <w:rPr>
          <w:rFonts w:ascii="Times New Roman" w:hAnsi="Times New Roman"/>
          <w:sz w:val="28"/>
          <w:szCs w:val="28"/>
          <w:lang w:eastAsia="ar-SA"/>
        </w:rPr>
        <w:t> </w:t>
      </w:r>
      <w:r w:rsidR="00E4468C" w:rsidRPr="00E4468C">
        <w:rPr>
          <w:rFonts w:ascii="Times New Roman" w:hAnsi="Times New Roman"/>
          <w:sz w:val="28"/>
          <w:szCs w:val="28"/>
          <w:lang w:val="uk-UA" w:eastAsia="ar-SA"/>
        </w:rPr>
        <w:t>Золотухіним Павлом Геннадійовичем</w:t>
      </w:r>
      <w:r w:rsidR="00E4468C" w:rsidRPr="00E4468C">
        <w:rPr>
          <w:rFonts w:ascii="Times New Roman" w:hAnsi="Times New Roman"/>
          <w:sz w:val="28"/>
          <w:szCs w:val="28"/>
          <w:lang w:eastAsia="ar-SA"/>
        </w:rPr>
        <w:t> </w:t>
      </w:r>
      <w:r w:rsidR="00E4468C" w:rsidRPr="00E4468C">
        <w:rPr>
          <w:rFonts w:ascii="Times New Roman" w:hAnsi="Times New Roman"/>
          <w:sz w:val="28"/>
          <w:szCs w:val="28"/>
          <w:lang w:val="uk-UA" w:eastAsia="ar-SA"/>
        </w:rPr>
        <w:t>над недієздатним Мотуза Олексія Миколайовича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</w:p>
    <w:p w14:paraId="28B7E2E0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1877136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969E4C2" w14:textId="340EE32F" w:rsidR="00296F22" w:rsidRDefault="00296F22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F24EEC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D1CCC1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15B506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16F630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BBAD8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82E64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D0A81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E54B7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1FCE82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E2BC1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BE910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641F1C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2FA652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7A02EE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415178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D4DB2F0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99ED1A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BBED5E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11CA98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A0A659A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9C3ACC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605DF3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F5D55C6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CD126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C6F452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2067B9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F4C12A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BEB730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6E32A9" w14:textId="02A893D6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  <w:bookmarkStart w:id="2" w:name="_GoBack"/>
      <w:bookmarkEnd w:id="2"/>
    </w:p>
    <w:sectPr w:rsidR="00E4468C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E486" w14:textId="77777777" w:rsidR="00CD59C7" w:rsidRDefault="00CD59C7" w:rsidP="008D5217">
      <w:pPr>
        <w:spacing w:after="0" w:line="240" w:lineRule="auto"/>
      </w:pPr>
      <w:r>
        <w:separator/>
      </w:r>
    </w:p>
  </w:endnote>
  <w:endnote w:type="continuationSeparator" w:id="0">
    <w:p w14:paraId="00D0C0C6" w14:textId="77777777" w:rsidR="00CD59C7" w:rsidRDefault="00CD59C7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F5B5" w14:textId="77777777" w:rsidR="00CD59C7" w:rsidRDefault="00CD59C7" w:rsidP="008D5217">
      <w:pPr>
        <w:spacing w:after="0" w:line="240" w:lineRule="auto"/>
      </w:pPr>
      <w:r>
        <w:separator/>
      </w:r>
    </w:p>
  </w:footnote>
  <w:footnote w:type="continuationSeparator" w:id="0">
    <w:p w14:paraId="0F87DD1D" w14:textId="77777777" w:rsidR="00CD59C7" w:rsidRDefault="00CD59C7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E1B"/>
    <w:rsid w:val="0009206E"/>
    <w:rsid w:val="000937E8"/>
    <w:rsid w:val="00095D81"/>
    <w:rsid w:val="00095FED"/>
    <w:rsid w:val="000964D3"/>
    <w:rsid w:val="000A0E1A"/>
    <w:rsid w:val="000A163A"/>
    <w:rsid w:val="000B38A7"/>
    <w:rsid w:val="000B6D4C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60B2"/>
    <w:rsid w:val="00387652"/>
    <w:rsid w:val="003934DC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C7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82F20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59C7"/>
    <w:rsid w:val="00CD6D1E"/>
    <w:rsid w:val="00CE4195"/>
    <w:rsid w:val="00CE46A0"/>
    <w:rsid w:val="00CE60D9"/>
    <w:rsid w:val="00CE638B"/>
    <w:rsid w:val="00CF0F09"/>
    <w:rsid w:val="00CF2880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755CA"/>
    <w:rsid w:val="00F819A9"/>
    <w:rsid w:val="00F81E64"/>
    <w:rsid w:val="00F831B0"/>
    <w:rsid w:val="00FB1A01"/>
    <w:rsid w:val="00FC77A7"/>
    <w:rsid w:val="00FC7DEC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semiHidden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BDFB-14AC-4664-A535-6D53C997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</cp:revision>
  <cp:lastPrinted>2023-01-19T12:38:00Z</cp:lastPrinted>
  <dcterms:created xsi:type="dcterms:W3CDTF">2023-06-12T14:04:00Z</dcterms:created>
  <dcterms:modified xsi:type="dcterms:W3CDTF">2023-07-04T07:49:00Z</dcterms:modified>
</cp:coreProperties>
</file>